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129363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bookmarkStart w:id="0" w:name="_Toc149754992"/>
      <w:bookmarkStart w:id="1" w:name="_Toc135213675"/>
      <w:bookmarkStart w:id="2" w:name="_Toc137219254"/>
      <w:bookmarkStart w:id="3" w:name="_Toc135242029"/>
      <w:r>
        <w:rPr>
          <w:rFonts w:ascii="Times New Roman" w:hAnsi="Times New Roman" w:eastAsia="仿宋_GB2312"/>
          <w:b/>
          <w:bCs/>
          <w:sz w:val="32"/>
          <w:szCs w:val="30"/>
        </w:rPr>
        <w:t>巴宜区</w:t>
      </w:r>
      <w:r>
        <w:rPr>
          <w:rFonts w:hint="eastAsia" w:ascii="Times New Roman" w:hAnsi="Times New Roman" w:eastAsia="仿宋_GB2312"/>
          <w:b/>
          <w:bCs/>
          <w:sz w:val="32"/>
          <w:szCs w:val="30"/>
        </w:rPr>
        <w:t>八一</w:t>
      </w:r>
      <w:r>
        <w:rPr>
          <w:rFonts w:ascii="Times New Roman" w:hAnsi="Times New Roman" w:eastAsia="仿宋_GB2312"/>
          <w:b/>
          <w:bCs/>
          <w:sz w:val="32"/>
          <w:szCs w:val="30"/>
        </w:rPr>
        <w:t>镇</w:t>
      </w:r>
      <w:r>
        <w:rPr>
          <w:rFonts w:hint="eastAsia" w:ascii="Times New Roman" w:hAnsi="Times New Roman" w:eastAsia="仿宋_GB2312"/>
          <w:b/>
          <w:bCs/>
          <w:sz w:val="32"/>
          <w:szCs w:val="30"/>
        </w:rPr>
        <w:t>巴果绕</w:t>
      </w:r>
      <w:r>
        <w:rPr>
          <w:rFonts w:ascii="Times New Roman" w:hAnsi="Times New Roman" w:eastAsia="仿宋_GB2312"/>
          <w:b/>
          <w:bCs/>
          <w:sz w:val="32"/>
          <w:szCs w:val="30"/>
        </w:rPr>
        <w:t>村“多规合一”实用性村庄规划</w:t>
      </w:r>
    </w:p>
    <w:p w14:paraId="22919C26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r>
        <w:rPr>
          <w:rFonts w:ascii="Times New Roman" w:hAnsi="Times New Roman" w:eastAsia="仿宋_GB2312"/>
          <w:b/>
          <w:bCs/>
          <w:sz w:val="32"/>
          <w:szCs w:val="30"/>
        </w:rPr>
        <w:t>（2024-2035年）</w:t>
      </w:r>
    </w:p>
    <w:p w14:paraId="2E0F59D5">
      <w:pPr>
        <w:numPr>
          <w:ilvl w:val="0"/>
          <w:numId w:val="1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规划范围</w:t>
      </w:r>
    </w:p>
    <w:p w14:paraId="315ACED7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本次规划范围为</w:t>
      </w:r>
      <w:r>
        <w:rPr>
          <w:rFonts w:hint="eastAsia" w:ascii="Times New Roman" w:hAnsi="Times New Roman" w:eastAsia="仿宋_GB2312"/>
          <w:sz w:val="30"/>
          <w:szCs w:val="30"/>
        </w:rPr>
        <w:t>八一</w:t>
      </w:r>
      <w:r>
        <w:rPr>
          <w:rFonts w:ascii="Times New Roman" w:hAnsi="Times New Roman" w:eastAsia="仿宋_GB2312"/>
          <w:sz w:val="30"/>
          <w:szCs w:val="30"/>
        </w:rPr>
        <w:t>镇</w:t>
      </w:r>
      <w:r>
        <w:rPr>
          <w:rFonts w:hint="eastAsia" w:ascii="Times New Roman" w:hAnsi="Times New Roman" w:eastAsia="仿宋_GB2312"/>
          <w:sz w:val="30"/>
          <w:szCs w:val="30"/>
        </w:rPr>
        <w:t>巴果绕</w:t>
      </w:r>
      <w:r>
        <w:rPr>
          <w:rFonts w:ascii="Times New Roman" w:hAnsi="Times New Roman" w:eastAsia="仿宋_GB2312"/>
          <w:sz w:val="30"/>
          <w:szCs w:val="30"/>
        </w:rPr>
        <w:t>村村域全部国土空间，规划总面积</w:t>
      </w:r>
      <w:r>
        <w:rPr>
          <w:rFonts w:hint="eastAsia" w:ascii="Times New Roman" w:hAnsi="Times New Roman" w:eastAsia="仿宋_GB2312"/>
          <w:sz w:val="30"/>
          <w:szCs w:val="30"/>
        </w:rPr>
        <w:t>10416.52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28265DA0">
      <w:pPr>
        <w:numPr>
          <w:ilvl w:val="0"/>
          <w:numId w:val="1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规划期限</w:t>
      </w:r>
    </w:p>
    <w:p w14:paraId="0586CA29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本次规划期限为2024-2035年。规划基期年为2023年，目标年为2035年，近期至2030年。</w:t>
      </w:r>
    </w:p>
    <w:p w14:paraId="61EF9BC5">
      <w:pPr>
        <w:numPr>
          <w:ilvl w:val="0"/>
          <w:numId w:val="1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规划定位</w:t>
      </w:r>
    </w:p>
    <w:p w14:paraId="1A4C9532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hint="eastAsia" w:ascii="Times New Roman" w:hAnsi="Times New Roman" w:eastAsia="仿宋_GB2312"/>
          <w:sz w:val="30"/>
          <w:szCs w:val="30"/>
        </w:rPr>
        <w:t>充分发挥巴果绕村毗邻林芝市区的区位优势，立足居民点良好的田园村落形态，结合雪山与觉木沟等自然景观资源，大力发展观光旅游、休闲度假、生态露营等特色乡村旅游产业。本次规划将巴果绕村定位为：林芝市近郊田园观光体验目的地。</w:t>
      </w:r>
    </w:p>
    <w:p w14:paraId="73085E3C">
      <w:pPr>
        <w:numPr>
          <w:ilvl w:val="0"/>
          <w:numId w:val="1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底线约束</w:t>
      </w:r>
    </w:p>
    <w:p w14:paraId="55824B84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耕地保护目标。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根据巴宜区“三区三线”划定成果，巴果绕村落实耕地保护目标37.11公顷（556.62亩）</w:t>
      </w:r>
      <w:r>
        <w:rPr>
          <w:rFonts w:ascii="Times New Roman" w:hAnsi="Times New Roman" w:eastAsia="仿宋_GB2312"/>
          <w:sz w:val="30"/>
          <w:szCs w:val="30"/>
        </w:rPr>
        <w:t>。</w:t>
      </w:r>
    </w:p>
    <w:p w14:paraId="46B6D0C5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永久基本农田。</w:t>
      </w:r>
      <w:r>
        <w:rPr>
          <w:rFonts w:hint="eastAsia" w:ascii="Times New Roman" w:hAnsi="Times New Roman" w:eastAsia="仿宋_GB2312"/>
          <w:sz w:val="30"/>
          <w:szCs w:val="30"/>
        </w:rPr>
        <w:t>根据自然资源部下发巴宜区永久基本农田核实处置成果，巴果绕村落实永久基本农田保护任务36.51公顷（547.70亩）</w:t>
      </w:r>
      <w:r>
        <w:rPr>
          <w:rFonts w:ascii="Times New Roman" w:hAnsi="Times New Roman" w:eastAsia="仿宋_GB2312"/>
          <w:sz w:val="30"/>
          <w:szCs w:val="30"/>
        </w:rPr>
        <w:t>。</w:t>
      </w:r>
    </w:p>
    <w:p w14:paraId="1E4C1A9D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生态保护红线。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根据巴宜区“三区三线”划定成果，巴果绕村落实生态保护红线10106.99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1A31B674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村庄建设边界。</w:t>
      </w:r>
      <w:r>
        <w:rPr>
          <w:rFonts w:hint="eastAsia" w:ascii="Times New Roman" w:hAnsi="Times New Roman" w:eastAsia="仿宋_GB2312"/>
          <w:sz w:val="30"/>
          <w:szCs w:val="30"/>
        </w:rPr>
        <w:t>巴果绕村共划定村庄建设边界1</w:t>
      </w:r>
      <w:r>
        <w:rPr>
          <w:rFonts w:ascii="Times New Roman" w:hAnsi="Times New Roman" w:eastAsia="仿宋_GB2312"/>
          <w:sz w:val="30"/>
          <w:szCs w:val="30"/>
        </w:rPr>
        <w:t>处，总面积</w:t>
      </w:r>
      <w:r>
        <w:rPr>
          <w:rFonts w:hint="eastAsia" w:ascii="Times New Roman" w:hAnsi="Times New Roman" w:eastAsia="仿宋_GB2312"/>
          <w:sz w:val="30"/>
          <w:szCs w:val="30"/>
        </w:rPr>
        <w:t>8.74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52DBAE3F">
      <w:pPr>
        <w:numPr>
          <w:ilvl w:val="0"/>
          <w:numId w:val="1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国土空间用地结构优化</w:t>
      </w:r>
    </w:p>
    <w:p w14:paraId="607D5127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农用地优化。结合农业发展要求，统筹安排耕地、园地、林地等各类农用地，适当调整农用地结构。至规划期末，农用地面积</w:t>
      </w:r>
      <w:r>
        <w:rPr>
          <w:rFonts w:hint="eastAsia" w:ascii="Times New Roman" w:hAnsi="Times New Roman" w:eastAsia="仿宋_GB2312"/>
          <w:bCs/>
          <w:sz w:val="30"/>
          <w:szCs w:val="30"/>
        </w:rPr>
        <w:t>6714.25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1B4B3515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建设用地优化。按照“底线约束、节约集约、盘活存量、严控增量”要求，依法保障农村住房建设需求，统筹考虑生活服务配套设施完善和产业发展用地需求。至规划期末，建设用地面积</w:t>
      </w:r>
      <w:r>
        <w:rPr>
          <w:rFonts w:hint="eastAsia" w:ascii="Times New Roman" w:hAnsi="Times New Roman" w:eastAsia="仿宋_GB2312"/>
          <w:sz w:val="30"/>
          <w:szCs w:val="30"/>
        </w:rPr>
        <w:t>19.05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2F9D4BD1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未利用地优化。至规划期末，未利用地面积</w:t>
      </w:r>
      <w:r>
        <w:rPr>
          <w:rFonts w:hint="eastAsia" w:ascii="Times New Roman" w:hAnsi="Times New Roman" w:eastAsia="仿宋_GB2312"/>
          <w:sz w:val="30"/>
          <w:szCs w:val="30"/>
        </w:rPr>
        <w:t>3683.22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5F928AA0">
      <w:pPr>
        <w:numPr>
          <w:ilvl w:val="0"/>
          <w:numId w:val="1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规划主要图纸</w:t>
      </w:r>
    </w:p>
    <w:p w14:paraId="6D4ED9E8">
      <w:pPr>
        <w:rPr>
          <w:rStyle w:val="17"/>
        </w:rPr>
      </w:pPr>
    </w:p>
    <w:p w14:paraId="3223B250">
      <w:pPr>
        <w:rPr>
          <w:rStyle w:val="17"/>
        </w:rPr>
      </w:pPr>
    </w:p>
    <w:p w14:paraId="3CE0D962">
      <w:pPr>
        <w:rPr>
          <w:rStyle w:val="17"/>
        </w:rPr>
      </w:pPr>
    </w:p>
    <w:p w14:paraId="51D77DDE">
      <w:pPr>
        <w:rPr>
          <w:rStyle w:val="17"/>
        </w:rPr>
      </w:pPr>
    </w:p>
    <w:p w14:paraId="5A93CF3E">
      <w:pPr>
        <w:rPr>
          <w:rStyle w:val="17"/>
        </w:rPr>
      </w:pPr>
    </w:p>
    <w:p w14:paraId="0496D3C0">
      <w:pPr>
        <w:rPr>
          <w:rStyle w:val="17"/>
        </w:rPr>
      </w:pPr>
    </w:p>
    <w:p w14:paraId="7E7E29CA">
      <w:pPr>
        <w:rPr>
          <w:rStyle w:val="17"/>
        </w:rPr>
      </w:pPr>
    </w:p>
    <w:p w14:paraId="3BA1B0BB">
      <w:pPr>
        <w:rPr>
          <w:rStyle w:val="17"/>
        </w:rPr>
      </w:pPr>
    </w:p>
    <w:p w14:paraId="3B4984FD">
      <w:pPr>
        <w:rPr>
          <w:rStyle w:val="17"/>
          <w:rFonts w:hint="eastAsia" w:eastAsia="等线"/>
          <w:lang w:eastAsia="zh-CN"/>
        </w:rPr>
      </w:pPr>
    </w:p>
    <w:p w14:paraId="4A10434F">
      <w:pPr>
        <w:rPr>
          <w:rStyle w:val="17"/>
        </w:rPr>
      </w:pPr>
    </w:p>
    <w:p w14:paraId="1C9B4528">
      <w:pPr>
        <w:rPr>
          <w:rStyle w:val="17"/>
        </w:rPr>
      </w:pPr>
    </w:p>
    <w:p w14:paraId="09A3748A">
      <w:pPr>
        <w:rPr>
          <w:rStyle w:val="17"/>
        </w:rPr>
      </w:pPr>
    </w:p>
    <w:p w14:paraId="6294175F">
      <w:pPr>
        <w:rPr>
          <w:rStyle w:val="17"/>
        </w:rPr>
      </w:pPr>
    </w:p>
    <w:p w14:paraId="32817716">
      <w:pPr>
        <w:rPr>
          <w:rStyle w:val="17"/>
        </w:rPr>
      </w:pPr>
    </w:p>
    <w:p w14:paraId="332EB407">
      <w:pPr>
        <w:rPr>
          <w:rStyle w:val="17"/>
        </w:rPr>
      </w:pPr>
    </w:p>
    <w:p w14:paraId="40F922CD">
      <w:pPr>
        <w:rPr>
          <w:rStyle w:val="17"/>
        </w:rPr>
      </w:pPr>
    </w:p>
    <w:p w14:paraId="3C0ED013">
      <w:pPr>
        <w:rPr>
          <w:rStyle w:val="17"/>
        </w:rPr>
      </w:pPr>
    </w:p>
    <w:p w14:paraId="5A5974CD">
      <w:pPr>
        <w:rPr>
          <w:rStyle w:val="17"/>
        </w:rPr>
      </w:pPr>
    </w:p>
    <w:p w14:paraId="6D24104F">
      <w:pPr>
        <w:rPr>
          <w:rStyle w:val="17"/>
        </w:rPr>
      </w:pPr>
    </w:p>
    <w:p w14:paraId="75A77A2A">
      <w:pPr>
        <w:rPr>
          <w:rStyle w:val="17"/>
        </w:rPr>
        <w:sectPr>
          <w:footerReference r:id="rId3" w:type="default"/>
          <w:pgSz w:w="11906" w:h="16838"/>
          <w:pgMar w:top="1440" w:right="1800" w:bottom="1440" w:left="1800" w:header="851" w:footer="992" w:gutter="0"/>
          <w:pgNumType w:fmt="decimal" w:start="1"/>
          <w:cols w:space="425" w:num="1"/>
          <w:docGrid w:type="lines" w:linePitch="312" w:charSpace="0"/>
        </w:sectPr>
      </w:pPr>
      <w:r>
        <w:rPr>
          <w:rStyle w:val="17"/>
        </w:rPr>
        <w:br w:type="page"/>
      </w:r>
    </w:p>
    <w:bookmarkEnd w:id="0"/>
    <w:bookmarkEnd w:id="1"/>
    <w:bookmarkEnd w:id="2"/>
    <w:bookmarkEnd w:id="3"/>
    <w:p w14:paraId="52859B32">
      <w:pPr>
        <w:jc w:val="center"/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sectPr>
          <w:pgSz w:w="16838" w:h="11906" w:orient="landscape"/>
          <w:pgMar w:top="1800" w:right="1440" w:bottom="1800" w:left="1440" w:header="851" w:footer="992" w:gutter="0"/>
          <w:pgNumType w:fmt="decimal"/>
          <w:cols w:space="425" w:num="1"/>
          <w:docGrid w:type="lines" w:linePitch="312" w:charSpace="0"/>
        </w:sectPr>
      </w:pPr>
      <w:r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drawing>
          <wp:inline distT="0" distB="0" distL="114300" distR="114300">
            <wp:extent cx="7790180" cy="5507990"/>
            <wp:effectExtent l="0" t="0" r="12700" b="8890"/>
            <wp:docPr id="5" name="图片 5" descr="巴宜区八一镇巴果绕村“多规合一”实用性村庄规划（2024-2035）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巴宜区八一镇巴果绕村“多规合一”实用性村庄规划（2024-2035）_6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90180" cy="550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drawing>
          <wp:inline distT="0" distB="0" distL="114300" distR="114300">
            <wp:extent cx="7790180" cy="5507990"/>
            <wp:effectExtent l="0" t="0" r="12700" b="8890"/>
            <wp:docPr id="2" name="图片 2" descr="巴宜区八一镇巴果绕村“多规合一”实用性村庄规划（2024-2035）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巴宜区八一镇巴果绕村“多规合一”实用性村庄规划（2024-2035）_6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90180" cy="550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ACDBF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r>
        <w:rPr>
          <w:rFonts w:ascii="Times New Roman" w:hAnsi="Times New Roman" w:eastAsia="仿宋_GB2312"/>
          <w:b/>
          <w:bCs/>
          <w:sz w:val="32"/>
          <w:szCs w:val="30"/>
        </w:rPr>
        <w:t>巴宜区</w:t>
      </w:r>
      <w:r>
        <w:rPr>
          <w:rFonts w:hint="eastAsia" w:ascii="Times New Roman" w:hAnsi="Times New Roman" w:eastAsia="仿宋_GB2312"/>
          <w:b/>
          <w:bCs/>
          <w:sz w:val="32"/>
          <w:szCs w:val="30"/>
        </w:rPr>
        <w:t>八一</w:t>
      </w:r>
      <w:r>
        <w:rPr>
          <w:rFonts w:ascii="Times New Roman" w:hAnsi="Times New Roman" w:eastAsia="仿宋_GB2312"/>
          <w:b/>
          <w:bCs/>
          <w:sz w:val="32"/>
          <w:szCs w:val="30"/>
        </w:rPr>
        <w:t>镇</w:t>
      </w:r>
      <w:r>
        <w:rPr>
          <w:rFonts w:hint="eastAsia" w:ascii="Times New Roman" w:hAnsi="Times New Roman" w:eastAsia="仿宋_GB2312"/>
          <w:b/>
          <w:bCs/>
          <w:sz w:val="32"/>
          <w:szCs w:val="30"/>
        </w:rPr>
        <w:t>多布</w:t>
      </w:r>
      <w:r>
        <w:rPr>
          <w:rFonts w:ascii="Times New Roman" w:hAnsi="Times New Roman" w:eastAsia="仿宋_GB2312"/>
          <w:b/>
          <w:bCs/>
          <w:sz w:val="32"/>
          <w:szCs w:val="30"/>
        </w:rPr>
        <w:t>村“多规合一”实用性村庄规划</w:t>
      </w:r>
    </w:p>
    <w:p w14:paraId="1575B338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r>
        <w:rPr>
          <w:rFonts w:ascii="Times New Roman" w:hAnsi="Times New Roman" w:eastAsia="仿宋_GB2312"/>
          <w:b/>
          <w:bCs/>
          <w:sz w:val="32"/>
          <w:szCs w:val="30"/>
        </w:rPr>
        <w:t>（2024-2035年）</w:t>
      </w:r>
    </w:p>
    <w:p w14:paraId="23CED1EE">
      <w:pPr>
        <w:numPr>
          <w:ilvl w:val="0"/>
          <w:numId w:val="2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规划范围</w:t>
      </w:r>
    </w:p>
    <w:p w14:paraId="1E9B18A9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本次规划范围为</w:t>
      </w:r>
      <w:r>
        <w:rPr>
          <w:rFonts w:hint="eastAsia" w:ascii="Times New Roman" w:hAnsi="Times New Roman" w:eastAsia="仿宋_GB2312"/>
          <w:sz w:val="30"/>
          <w:szCs w:val="30"/>
        </w:rPr>
        <w:t>八一</w:t>
      </w:r>
      <w:r>
        <w:rPr>
          <w:rFonts w:ascii="Times New Roman" w:hAnsi="Times New Roman" w:eastAsia="仿宋_GB2312"/>
          <w:sz w:val="30"/>
          <w:szCs w:val="30"/>
        </w:rPr>
        <w:t>镇</w:t>
      </w:r>
      <w:r>
        <w:rPr>
          <w:rFonts w:hint="eastAsia" w:ascii="Times New Roman" w:hAnsi="Times New Roman" w:eastAsia="仿宋_GB2312"/>
          <w:sz w:val="30"/>
          <w:szCs w:val="30"/>
        </w:rPr>
        <w:t>多布</w:t>
      </w:r>
      <w:r>
        <w:rPr>
          <w:rFonts w:ascii="Times New Roman" w:hAnsi="Times New Roman" w:eastAsia="仿宋_GB2312"/>
          <w:sz w:val="30"/>
          <w:szCs w:val="30"/>
        </w:rPr>
        <w:t>村村域全部国土空间，规划总面积</w:t>
      </w:r>
      <w:r>
        <w:rPr>
          <w:rFonts w:hint="eastAsia" w:ascii="Times New Roman" w:hAnsi="Times New Roman" w:eastAsia="仿宋_GB2312"/>
          <w:sz w:val="30"/>
          <w:szCs w:val="30"/>
        </w:rPr>
        <w:t>6892.37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793143CE">
      <w:pPr>
        <w:numPr>
          <w:ilvl w:val="0"/>
          <w:numId w:val="2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规划期限</w:t>
      </w:r>
    </w:p>
    <w:p w14:paraId="068E1E5E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本次规划期限为2024-2035年。规划基期年为2023年，目标年为2035年，近期至2030年。</w:t>
      </w:r>
    </w:p>
    <w:p w14:paraId="77BE05BC">
      <w:pPr>
        <w:numPr>
          <w:ilvl w:val="0"/>
          <w:numId w:val="2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规划定位</w:t>
      </w:r>
    </w:p>
    <w:p w14:paraId="6304654A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hint="eastAsia" w:ascii="Times New Roman" w:hAnsi="Times New Roman" w:eastAsia="仿宋_GB2312"/>
          <w:sz w:val="30"/>
          <w:szCs w:val="30"/>
        </w:rPr>
        <w:t>充</w:t>
      </w:r>
      <w:r>
        <w:rPr>
          <w:rFonts w:ascii="Times New Roman" w:hAnsi="Times New Roman" w:eastAsia="仿宋_GB2312"/>
          <w:sz w:val="30"/>
          <w:szCs w:val="30"/>
        </w:rPr>
        <w:t>分发挥西藏新华印刷厂旧址、卡定沟景区、华侨城汽车营地</w:t>
      </w:r>
      <w:r>
        <w:rPr>
          <w:rFonts w:hint="eastAsia" w:ascii="Times New Roman" w:hAnsi="Times New Roman" w:eastAsia="仿宋_GB2312"/>
          <w:sz w:val="30"/>
          <w:szCs w:val="30"/>
        </w:rPr>
        <w:t>、</w:t>
      </w:r>
      <w:r>
        <w:rPr>
          <w:rFonts w:ascii="Times New Roman" w:hAnsi="Times New Roman" w:eastAsia="仿宋_GB2312"/>
          <w:sz w:val="30"/>
          <w:szCs w:val="30"/>
        </w:rPr>
        <w:t>多布湖等资源优势，以宜居宜业和美乡村建设为契机，重点推进旅游服务设施建设、人居环境整治，强化景村融合发展，打造多布湖景区门户、巴宜区景村融合示范村。</w:t>
      </w:r>
    </w:p>
    <w:p w14:paraId="445A2DF8">
      <w:pPr>
        <w:numPr>
          <w:ilvl w:val="0"/>
          <w:numId w:val="2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底线约束</w:t>
      </w:r>
    </w:p>
    <w:p w14:paraId="62F1C7B0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耕地保护目标。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根据巴宜区“三区三线”划定成果，多布村落实耕地保护目标69.72公顷（1045.86亩）</w:t>
      </w:r>
      <w:r>
        <w:rPr>
          <w:rFonts w:ascii="Times New Roman" w:hAnsi="Times New Roman" w:eastAsia="仿宋_GB2312"/>
          <w:sz w:val="30"/>
          <w:szCs w:val="30"/>
        </w:rPr>
        <w:t>。</w:t>
      </w:r>
    </w:p>
    <w:p w14:paraId="4274EAF6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永久基本农田。</w:t>
      </w:r>
      <w:r>
        <w:rPr>
          <w:rFonts w:hint="eastAsia" w:ascii="Times New Roman" w:hAnsi="Times New Roman" w:eastAsia="仿宋_GB2312"/>
          <w:sz w:val="30"/>
          <w:szCs w:val="30"/>
        </w:rPr>
        <w:t>根据自然资源部下发巴宜区永久基本农田核实处置成果，多布村落实永久基本农田保护任务50.18公顷（752.76亩）</w:t>
      </w:r>
      <w:r>
        <w:rPr>
          <w:rFonts w:ascii="Times New Roman" w:hAnsi="Times New Roman" w:eastAsia="仿宋_GB2312"/>
          <w:sz w:val="30"/>
          <w:szCs w:val="30"/>
        </w:rPr>
        <w:t>。</w:t>
      </w:r>
    </w:p>
    <w:p w14:paraId="357CA00E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生态保护红线。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根据巴宜区“三区三线”划定成果，多布村落实生态保护红线5299.81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39E69C1F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村庄建设边界。</w:t>
      </w:r>
      <w:r>
        <w:rPr>
          <w:rFonts w:hint="eastAsia" w:ascii="Times New Roman" w:hAnsi="Times New Roman" w:eastAsia="仿宋_GB2312"/>
          <w:sz w:val="30"/>
          <w:szCs w:val="30"/>
        </w:rPr>
        <w:t>多布村共划定村庄建设边界41.16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3237A973">
      <w:pPr>
        <w:numPr>
          <w:ilvl w:val="0"/>
          <w:numId w:val="2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国土空间用地结构优化</w:t>
      </w:r>
    </w:p>
    <w:p w14:paraId="008371EB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农用地优化。结合农业发展要求，统筹安排耕地、园地、林地等各类农用地，适当调整农用地结构。至规划期末，农用地面积</w:t>
      </w:r>
      <w:r>
        <w:rPr>
          <w:rFonts w:hint="eastAsia" w:ascii="Times New Roman" w:hAnsi="Times New Roman" w:eastAsia="仿宋_GB2312"/>
          <w:bCs/>
          <w:sz w:val="30"/>
          <w:szCs w:val="30"/>
        </w:rPr>
        <w:t>5746.76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4CEE3BA7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建设用地优化。按照“底线约束、节约集约、盘活存量、严控增量”要求，依法保障农村住房建设需求，统筹考虑生活服务配套设施完善和产业发展用地需求。至规划期末，建设用地面积</w:t>
      </w:r>
      <w:r>
        <w:rPr>
          <w:rFonts w:hint="eastAsia" w:ascii="Times New Roman" w:hAnsi="Times New Roman" w:eastAsia="仿宋_GB2312"/>
          <w:sz w:val="30"/>
          <w:szCs w:val="30"/>
        </w:rPr>
        <w:t>130.75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1D7A16F9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未利用地优化。至规划期末，未利用地面积</w:t>
      </w:r>
      <w:r>
        <w:rPr>
          <w:rFonts w:hint="eastAsia" w:ascii="Times New Roman" w:hAnsi="Times New Roman" w:eastAsia="仿宋_GB2312"/>
          <w:sz w:val="30"/>
          <w:szCs w:val="30"/>
        </w:rPr>
        <w:t>1014.85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66A6B19F">
      <w:pPr>
        <w:numPr>
          <w:ilvl w:val="0"/>
          <w:numId w:val="2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规划主要图纸</w:t>
      </w:r>
    </w:p>
    <w:p w14:paraId="568DDB9D">
      <w:pPr>
        <w:rPr>
          <w:rStyle w:val="17"/>
        </w:rPr>
      </w:pPr>
    </w:p>
    <w:p w14:paraId="18A73A0B">
      <w:pPr>
        <w:rPr>
          <w:rStyle w:val="17"/>
        </w:rPr>
      </w:pPr>
    </w:p>
    <w:p w14:paraId="57596758">
      <w:pPr>
        <w:rPr>
          <w:rStyle w:val="17"/>
        </w:rPr>
      </w:pPr>
    </w:p>
    <w:p w14:paraId="32D5DAC1">
      <w:pPr>
        <w:rPr>
          <w:rStyle w:val="17"/>
        </w:rPr>
      </w:pPr>
    </w:p>
    <w:p w14:paraId="2631C46D">
      <w:pPr>
        <w:rPr>
          <w:rStyle w:val="17"/>
        </w:rPr>
      </w:pPr>
    </w:p>
    <w:p w14:paraId="45FD20E7">
      <w:pPr>
        <w:rPr>
          <w:rStyle w:val="17"/>
        </w:rPr>
      </w:pPr>
    </w:p>
    <w:p w14:paraId="53FE799C">
      <w:pPr>
        <w:rPr>
          <w:rStyle w:val="17"/>
        </w:rPr>
      </w:pPr>
    </w:p>
    <w:p w14:paraId="12EF1C56">
      <w:pPr>
        <w:rPr>
          <w:rStyle w:val="17"/>
        </w:rPr>
      </w:pPr>
    </w:p>
    <w:p w14:paraId="20E08DC7">
      <w:pPr>
        <w:rPr>
          <w:rStyle w:val="17"/>
        </w:rPr>
      </w:pPr>
    </w:p>
    <w:p w14:paraId="31BC30D1">
      <w:pPr>
        <w:rPr>
          <w:rStyle w:val="17"/>
        </w:rPr>
      </w:pPr>
    </w:p>
    <w:p w14:paraId="12BD6D72">
      <w:pPr>
        <w:rPr>
          <w:rStyle w:val="17"/>
        </w:rPr>
      </w:pPr>
    </w:p>
    <w:p w14:paraId="2052F3CB">
      <w:pPr>
        <w:rPr>
          <w:rStyle w:val="17"/>
        </w:rPr>
      </w:pPr>
    </w:p>
    <w:p w14:paraId="765D91B0">
      <w:pPr>
        <w:rPr>
          <w:rStyle w:val="17"/>
        </w:rPr>
      </w:pPr>
    </w:p>
    <w:p w14:paraId="109908BA">
      <w:pPr>
        <w:rPr>
          <w:rStyle w:val="17"/>
        </w:rPr>
      </w:pPr>
    </w:p>
    <w:p w14:paraId="0E6847ED">
      <w:pPr>
        <w:rPr>
          <w:rStyle w:val="17"/>
        </w:rPr>
      </w:pPr>
    </w:p>
    <w:p w14:paraId="6D6C6566">
      <w:pPr>
        <w:rPr>
          <w:rStyle w:val="17"/>
        </w:rPr>
      </w:pPr>
    </w:p>
    <w:p w14:paraId="262B8CA0">
      <w:pPr>
        <w:rPr>
          <w:rStyle w:val="17"/>
        </w:rPr>
      </w:pPr>
    </w:p>
    <w:p w14:paraId="6817DEA9">
      <w:pPr>
        <w:rPr>
          <w:rStyle w:val="17"/>
        </w:rPr>
      </w:pPr>
    </w:p>
    <w:p w14:paraId="0B73E28B">
      <w:pPr>
        <w:rPr>
          <w:rStyle w:val="17"/>
        </w:rPr>
      </w:pPr>
    </w:p>
    <w:p w14:paraId="3C96CA14">
      <w:pPr>
        <w:rPr>
          <w:rStyle w:val="17"/>
        </w:rPr>
        <w:sectPr>
          <w:footerReference r:id="rId4" w:type="default"/>
          <w:pgSz w:w="11906" w:h="16838"/>
          <w:pgMar w:top="1440" w:right="1800" w:bottom="1440" w:left="1800" w:header="851" w:footer="992" w:gutter="0"/>
          <w:pgNumType w:fmt="decimal" w:start="1"/>
          <w:cols w:space="425" w:num="1"/>
          <w:docGrid w:type="lines" w:linePitch="312" w:charSpace="0"/>
        </w:sectPr>
      </w:pPr>
      <w:r>
        <w:rPr>
          <w:rStyle w:val="17"/>
        </w:rPr>
        <w:br w:type="page"/>
      </w:r>
    </w:p>
    <w:p w14:paraId="5553954F">
      <w:pPr>
        <w:jc w:val="center"/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sectPr>
          <w:pgSz w:w="16838" w:h="11906" w:orient="landscape"/>
          <w:pgMar w:top="1800" w:right="1440" w:bottom="1800" w:left="1440" w:header="851" w:footer="992" w:gutter="0"/>
          <w:pgNumType w:fmt="decimal"/>
          <w:cols w:space="425" w:num="1"/>
          <w:docGrid w:type="lines" w:linePitch="312" w:charSpace="0"/>
        </w:sectPr>
      </w:pPr>
      <w:r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drawing>
          <wp:inline distT="0" distB="0" distL="114300" distR="114300">
            <wp:extent cx="7788910" cy="5507990"/>
            <wp:effectExtent l="0" t="0" r="13970" b="8890"/>
            <wp:docPr id="4" name="图片 4" descr="巴宜区八一镇多布村“多规合一”实用性村庄规划（2024-2035年）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巴宜区八一镇多布村“多规合一”实用性村庄规划（2024-2035年）_7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88910" cy="550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drawing>
          <wp:inline distT="0" distB="0" distL="114300" distR="114300">
            <wp:extent cx="7788910" cy="5507990"/>
            <wp:effectExtent l="0" t="0" r="13970" b="8890"/>
            <wp:docPr id="6" name="图片 6" descr="巴宜区八一镇多布村“多规合一”实用性村庄规划（2024-2035年）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巴宜区八一镇多布村“多规合一”实用性村庄规划（2024-2035年）_7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88910" cy="550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131C1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r>
        <w:rPr>
          <w:rFonts w:ascii="Times New Roman" w:hAnsi="Times New Roman" w:eastAsia="仿宋_GB2312"/>
          <w:b/>
          <w:bCs/>
          <w:sz w:val="32"/>
          <w:szCs w:val="30"/>
        </w:rPr>
        <w:t>巴宜区</w:t>
      </w:r>
      <w:r>
        <w:rPr>
          <w:rFonts w:hint="eastAsia" w:ascii="Times New Roman" w:hAnsi="Times New Roman" w:eastAsia="仿宋_GB2312"/>
          <w:b/>
          <w:bCs/>
          <w:sz w:val="32"/>
          <w:szCs w:val="30"/>
        </w:rPr>
        <w:t>八一</w:t>
      </w:r>
      <w:r>
        <w:rPr>
          <w:rFonts w:ascii="Times New Roman" w:hAnsi="Times New Roman" w:eastAsia="仿宋_GB2312"/>
          <w:b/>
          <w:bCs/>
          <w:sz w:val="32"/>
          <w:szCs w:val="30"/>
        </w:rPr>
        <w:t>镇</w:t>
      </w:r>
      <w:r>
        <w:rPr>
          <w:rFonts w:hint="eastAsia" w:ascii="Times New Roman" w:hAnsi="Times New Roman" w:eastAsia="仿宋_GB2312"/>
          <w:b/>
          <w:bCs/>
          <w:sz w:val="32"/>
          <w:szCs w:val="30"/>
        </w:rPr>
        <w:t>公众</w:t>
      </w:r>
      <w:r>
        <w:rPr>
          <w:rFonts w:ascii="Times New Roman" w:hAnsi="Times New Roman" w:eastAsia="仿宋_GB2312"/>
          <w:b/>
          <w:bCs/>
          <w:sz w:val="32"/>
          <w:szCs w:val="30"/>
        </w:rPr>
        <w:t>村“多规合一”实用性村庄规划</w:t>
      </w:r>
    </w:p>
    <w:p w14:paraId="05A590A8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r>
        <w:rPr>
          <w:rFonts w:ascii="Times New Roman" w:hAnsi="Times New Roman" w:eastAsia="仿宋_GB2312"/>
          <w:b/>
          <w:bCs/>
          <w:sz w:val="32"/>
          <w:szCs w:val="30"/>
        </w:rPr>
        <w:t>（2024-2035年）</w:t>
      </w:r>
    </w:p>
    <w:p w14:paraId="4EA5ABDB">
      <w:pPr>
        <w:numPr>
          <w:ilvl w:val="0"/>
          <w:numId w:val="3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规划范围</w:t>
      </w:r>
    </w:p>
    <w:p w14:paraId="1F39F621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本次规划范围为</w:t>
      </w:r>
      <w:r>
        <w:rPr>
          <w:rFonts w:hint="eastAsia" w:ascii="Times New Roman" w:hAnsi="Times New Roman" w:eastAsia="仿宋_GB2312"/>
          <w:sz w:val="30"/>
          <w:szCs w:val="30"/>
        </w:rPr>
        <w:t>八一</w:t>
      </w:r>
      <w:r>
        <w:rPr>
          <w:rFonts w:ascii="Times New Roman" w:hAnsi="Times New Roman" w:eastAsia="仿宋_GB2312"/>
          <w:sz w:val="30"/>
          <w:szCs w:val="30"/>
        </w:rPr>
        <w:t>镇</w:t>
      </w:r>
      <w:r>
        <w:rPr>
          <w:rFonts w:hint="eastAsia" w:ascii="Times New Roman" w:hAnsi="Times New Roman" w:eastAsia="仿宋_GB2312"/>
          <w:sz w:val="30"/>
          <w:szCs w:val="30"/>
        </w:rPr>
        <w:t>公众</w:t>
      </w:r>
      <w:r>
        <w:rPr>
          <w:rFonts w:ascii="Times New Roman" w:hAnsi="Times New Roman" w:eastAsia="仿宋_GB2312"/>
          <w:sz w:val="30"/>
          <w:szCs w:val="30"/>
        </w:rPr>
        <w:t>村村域全部国土空间，规划总面积</w:t>
      </w:r>
      <w:r>
        <w:rPr>
          <w:rFonts w:hint="eastAsia" w:ascii="Times New Roman" w:hAnsi="Times New Roman" w:eastAsia="仿宋_GB2312"/>
          <w:sz w:val="30"/>
          <w:szCs w:val="30"/>
        </w:rPr>
        <w:t>17639.11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72D00C8B">
      <w:pPr>
        <w:numPr>
          <w:ilvl w:val="0"/>
          <w:numId w:val="3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规划期限</w:t>
      </w:r>
    </w:p>
    <w:p w14:paraId="1488ADF3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本次规划期限为2024-2035年。规划基期年为2023年，目标年为2035年，近期至2030年。</w:t>
      </w:r>
    </w:p>
    <w:p w14:paraId="0411D2C8">
      <w:pPr>
        <w:numPr>
          <w:ilvl w:val="0"/>
          <w:numId w:val="3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规划定位</w:t>
      </w:r>
    </w:p>
    <w:p w14:paraId="15B3CC70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hint="eastAsia" w:ascii="Times New Roman" w:hAnsi="Times New Roman" w:eastAsia="仿宋_GB2312"/>
          <w:sz w:val="30"/>
          <w:szCs w:val="30"/>
        </w:rPr>
        <w:t>充分发挥公众村地理位置、交通区位、产业基础、资源禀赋优势，将公众村打造为“市区北部乡村门户、工布藏韵田园客厅”。促进公众村向巴宜区的“文化体验标杆、城村共富样板、绿色发展先锋”全面转型。</w:t>
      </w:r>
    </w:p>
    <w:p w14:paraId="2DCB99C1">
      <w:pPr>
        <w:numPr>
          <w:ilvl w:val="0"/>
          <w:numId w:val="3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底线约束</w:t>
      </w:r>
    </w:p>
    <w:p w14:paraId="7AF76ADD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耕地保护目标。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根据巴宜区“三区三线”划定成果，公众村落实耕地保护目标49.08公顷（736.20亩）</w:t>
      </w:r>
      <w:r>
        <w:rPr>
          <w:rFonts w:ascii="Times New Roman" w:hAnsi="Times New Roman" w:eastAsia="仿宋_GB2312"/>
          <w:sz w:val="30"/>
          <w:szCs w:val="30"/>
        </w:rPr>
        <w:t>。</w:t>
      </w:r>
    </w:p>
    <w:p w14:paraId="36506B1F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永久基本农田。</w:t>
      </w:r>
      <w:r>
        <w:rPr>
          <w:rFonts w:hint="eastAsia" w:ascii="Times New Roman" w:hAnsi="Times New Roman" w:eastAsia="仿宋_GB2312"/>
          <w:sz w:val="30"/>
          <w:szCs w:val="30"/>
        </w:rPr>
        <w:t>根据自然资源部下发巴宜区永久基本农田核实处置成果，公众村落实永久基本农田保护任务15.45公顷（231.69亩）</w:t>
      </w:r>
      <w:r>
        <w:rPr>
          <w:rFonts w:ascii="Times New Roman" w:hAnsi="Times New Roman" w:eastAsia="仿宋_GB2312"/>
          <w:sz w:val="30"/>
          <w:szCs w:val="30"/>
        </w:rPr>
        <w:t>。</w:t>
      </w:r>
    </w:p>
    <w:p w14:paraId="4294DB48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生态保护红线。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根据巴宜区“三区三线”划定成果，公众村落实生态保护红线15546.54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38861D01">
      <w:pPr>
        <w:ind w:firstLine="600" w:firstLineChars="200"/>
        <w:rPr>
          <w:rFonts w:ascii="Times New Roman" w:hAnsi="Times New Roman" w:eastAsia="仿宋_GB2312"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_GB2312"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  <w:t>城镇开发边界。根据巴宜区“三区三线”划定成果，</w:t>
      </w:r>
      <w:r>
        <w:rPr>
          <w:rFonts w:hint="eastAsia" w:ascii="Times New Roman" w:hAnsi="Times New Roman" w:eastAsia="仿宋_GB2312"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  <w:t>公众村落实城镇开发边界192.12公顷</w:t>
      </w:r>
      <w:r>
        <w:rPr>
          <w:rFonts w:ascii="Times New Roman" w:hAnsi="Times New Roman" w:eastAsia="仿宋_GB2312"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  <w:t>。</w:t>
      </w:r>
    </w:p>
    <w:p w14:paraId="3487A97F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村庄建设边界。</w:t>
      </w:r>
      <w:r>
        <w:rPr>
          <w:rFonts w:hint="eastAsia" w:ascii="Times New Roman" w:hAnsi="Times New Roman" w:eastAsia="仿宋_GB2312"/>
          <w:sz w:val="30"/>
          <w:szCs w:val="30"/>
        </w:rPr>
        <w:t>公众村共划定村庄建设边界30.61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522E6192">
      <w:pPr>
        <w:numPr>
          <w:ilvl w:val="0"/>
          <w:numId w:val="3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国土空间用地结构优化</w:t>
      </w:r>
    </w:p>
    <w:p w14:paraId="36D74C6B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农用地优化。结合农业发展要求，统筹安排耕地、园地、林地等各类农用地，适当调整农用地结构。至规划期末，农用地面积</w:t>
      </w:r>
      <w:r>
        <w:rPr>
          <w:rFonts w:hint="eastAsia" w:ascii="Times New Roman" w:hAnsi="Times New Roman" w:eastAsia="仿宋_GB2312"/>
          <w:bCs/>
          <w:sz w:val="30"/>
          <w:szCs w:val="30"/>
        </w:rPr>
        <w:t>11511.86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3E094415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建设用地优化。按照“底线约束、节约集约、盘活存量、严控增量”要求，依法保障农村住房建设需求，统筹考虑生活服务配套设施完善和产业发展用地需求。至规划期末，建设用地面积</w:t>
      </w:r>
      <w:r>
        <w:rPr>
          <w:rFonts w:hint="eastAsia" w:ascii="Times New Roman" w:hAnsi="Times New Roman" w:eastAsia="仿宋_GB2312"/>
          <w:sz w:val="30"/>
          <w:szCs w:val="30"/>
        </w:rPr>
        <w:t>58.36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76DEA0D5">
      <w:pPr>
        <w:ind w:firstLine="600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未利用地优化。至规划期末，未利用地面积</w:t>
      </w:r>
      <w:r>
        <w:rPr>
          <w:rFonts w:hint="eastAsia" w:ascii="Times New Roman" w:hAnsi="Times New Roman" w:eastAsia="仿宋_GB2312"/>
          <w:sz w:val="30"/>
          <w:szCs w:val="30"/>
        </w:rPr>
        <w:t>5876.77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3328E078">
      <w:pPr>
        <w:numPr>
          <w:ilvl w:val="0"/>
          <w:numId w:val="3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规划主要图纸</w:t>
      </w:r>
    </w:p>
    <w:p w14:paraId="3C91B864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</w:p>
    <w:p w14:paraId="64107312">
      <w:pPr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drawing>
          <wp:inline distT="0" distB="0" distL="114300" distR="114300">
            <wp:extent cx="5346065" cy="7560310"/>
            <wp:effectExtent l="0" t="0" r="3175" b="13970"/>
            <wp:docPr id="7" name="图片 7" descr="巴宜区八一镇公众村“多规合一”实用性村庄规划（2024-2035年）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巴宜区八一镇公众村“多规合一”实用性村庄规划（2024-2035年）_7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4606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7C9B9">
      <w:pPr>
        <w:jc w:val="center"/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sectPr>
          <w:footerReference r:id="rId5" w:type="default"/>
          <w:pgSz w:w="11906" w:h="16838"/>
          <w:pgMar w:top="1440" w:right="1800" w:bottom="1440" w:left="1800" w:header="851" w:footer="992" w:gutter="0"/>
          <w:pgNumType w:fmt="decimal" w:start="1"/>
          <w:cols w:space="425" w:num="1"/>
          <w:docGrid w:type="lines" w:linePitch="312" w:charSpace="0"/>
        </w:sectPr>
      </w:pPr>
      <w:r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drawing>
          <wp:inline distT="0" distB="0" distL="114300" distR="114300">
            <wp:extent cx="5346065" cy="7560310"/>
            <wp:effectExtent l="0" t="0" r="3175" b="13970"/>
            <wp:docPr id="8" name="图片 8" descr="巴宜区八一镇公众村“多规合一”实用性村庄规划（2024-2035年）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巴宜区八一镇公众村“多规合一”实用性村庄规划（2024-2035年）_7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4606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2C543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r>
        <w:rPr>
          <w:rFonts w:ascii="Times New Roman" w:hAnsi="Times New Roman" w:eastAsia="仿宋_GB2312"/>
          <w:b/>
          <w:bCs/>
          <w:sz w:val="32"/>
          <w:szCs w:val="30"/>
        </w:rPr>
        <w:t>巴宜区</w:t>
      </w:r>
      <w:r>
        <w:rPr>
          <w:rFonts w:hint="eastAsia" w:ascii="Times New Roman" w:hAnsi="Times New Roman" w:eastAsia="仿宋_GB2312"/>
          <w:b/>
          <w:bCs/>
          <w:sz w:val="32"/>
          <w:szCs w:val="30"/>
        </w:rPr>
        <w:t>八一</w:t>
      </w:r>
      <w:r>
        <w:rPr>
          <w:rFonts w:ascii="Times New Roman" w:hAnsi="Times New Roman" w:eastAsia="仿宋_GB2312"/>
          <w:b/>
          <w:bCs/>
          <w:sz w:val="32"/>
          <w:szCs w:val="30"/>
        </w:rPr>
        <w:t>镇</w:t>
      </w:r>
      <w:r>
        <w:rPr>
          <w:rFonts w:hint="eastAsia" w:ascii="Times New Roman" w:hAnsi="Times New Roman" w:eastAsia="仿宋_GB2312"/>
          <w:b/>
          <w:bCs/>
          <w:sz w:val="32"/>
          <w:szCs w:val="30"/>
        </w:rPr>
        <w:t>加当嘎</w:t>
      </w:r>
      <w:r>
        <w:rPr>
          <w:rFonts w:ascii="Times New Roman" w:hAnsi="Times New Roman" w:eastAsia="仿宋_GB2312"/>
          <w:b/>
          <w:bCs/>
          <w:sz w:val="32"/>
          <w:szCs w:val="30"/>
        </w:rPr>
        <w:t>村“多规合一”实用性村庄规划</w:t>
      </w:r>
    </w:p>
    <w:p w14:paraId="1EB59B3F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r>
        <w:rPr>
          <w:rFonts w:ascii="Times New Roman" w:hAnsi="Times New Roman" w:eastAsia="仿宋_GB2312"/>
          <w:b/>
          <w:bCs/>
          <w:sz w:val="32"/>
          <w:szCs w:val="30"/>
        </w:rPr>
        <w:t>（2024-2035年）</w:t>
      </w:r>
    </w:p>
    <w:p w14:paraId="00E33BA8">
      <w:pPr>
        <w:numPr>
          <w:ilvl w:val="0"/>
          <w:numId w:val="4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规划范围</w:t>
      </w:r>
    </w:p>
    <w:p w14:paraId="0DD9DCBE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本次规划范围为</w:t>
      </w:r>
      <w:r>
        <w:rPr>
          <w:rFonts w:hint="eastAsia" w:ascii="Times New Roman" w:hAnsi="Times New Roman" w:eastAsia="仿宋_GB2312"/>
          <w:sz w:val="30"/>
          <w:szCs w:val="30"/>
        </w:rPr>
        <w:t>八一</w:t>
      </w:r>
      <w:r>
        <w:rPr>
          <w:rFonts w:ascii="Times New Roman" w:hAnsi="Times New Roman" w:eastAsia="仿宋_GB2312"/>
          <w:sz w:val="30"/>
          <w:szCs w:val="30"/>
        </w:rPr>
        <w:t>镇</w:t>
      </w:r>
      <w:r>
        <w:rPr>
          <w:rFonts w:hint="eastAsia" w:ascii="Times New Roman" w:hAnsi="Times New Roman" w:eastAsia="仿宋_GB2312"/>
          <w:sz w:val="30"/>
          <w:szCs w:val="30"/>
        </w:rPr>
        <w:t>加当嘎</w:t>
      </w:r>
      <w:r>
        <w:rPr>
          <w:rFonts w:ascii="Times New Roman" w:hAnsi="Times New Roman" w:eastAsia="仿宋_GB2312"/>
          <w:sz w:val="30"/>
          <w:szCs w:val="30"/>
        </w:rPr>
        <w:t>村村域全部国土空间，规划总面积</w:t>
      </w:r>
      <w:r>
        <w:rPr>
          <w:rFonts w:hint="eastAsia" w:ascii="Times New Roman" w:hAnsi="Times New Roman" w:eastAsia="仿宋_GB2312"/>
          <w:sz w:val="30"/>
          <w:szCs w:val="30"/>
        </w:rPr>
        <w:t>5400.26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771EECA8">
      <w:pPr>
        <w:numPr>
          <w:ilvl w:val="0"/>
          <w:numId w:val="4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规划期限</w:t>
      </w:r>
    </w:p>
    <w:p w14:paraId="2E69F487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本次规划期限为2024-2035年。规划基期年为2023年，目标年为2035年，近期至2030年。</w:t>
      </w:r>
    </w:p>
    <w:p w14:paraId="085D32BE">
      <w:pPr>
        <w:numPr>
          <w:ilvl w:val="0"/>
          <w:numId w:val="4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规划定位</w:t>
      </w:r>
    </w:p>
    <w:p w14:paraId="5BA4B119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hint="eastAsia" w:ascii="Times New Roman" w:hAnsi="Times New Roman" w:eastAsia="仿宋_GB2312"/>
          <w:sz w:val="30"/>
          <w:szCs w:val="30"/>
        </w:rPr>
        <w:t>立足加当嘎村近郊区位条件、现状大棚蔬菜基地，不断推进蔬菜基地基础设施建设，提升蔬菜保供水平，打造林芝市优质蔬菜保供基地。</w:t>
      </w:r>
    </w:p>
    <w:p w14:paraId="2FDE8629">
      <w:pPr>
        <w:numPr>
          <w:ilvl w:val="0"/>
          <w:numId w:val="4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底线约束</w:t>
      </w:r>
    </w:p>
    <w:p w14:paraId="0A90E1C9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耕地保护目标。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根据巴宜区“三区三线”划定成果，加当嘎村落实耕地保护目标35.83公顷（537.45亩）</w:t>
      </w:r>
      <w:r>
        <w:rPr>
          <w:rFonts w:ascii="Times New Roman" w:hAnsi="Times New Roman" w:eastAsia="仿宋_GB2312"/>
          <w:sz w:val="30"/>
          <w:szCs w:val="30"/>
        </w:rPr>
        <w:t>。</w:t>
      </w:r>
    </w:p>
    <w:p w14:paraId="4B705CA9">
      <w:pPr>
        <w:widowControl/>
        <w:ind w:firstLine="600" w:firstLineChars="200"/>
        <w:jc w:val="left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永久基本农田。</w:t>
      </w:r>
      <w:r>
        <w:rPr>
          <w:rFonts w:hint="eastAsia" w:ascii="Times New Roman" w:hAnsi="Times New Roman" w:eastAsia="仿宋_GB2312"/>
          <w:sz w:val="30"/>
          <w:szCs w:val="30"/>
        </w:rPr>
        <w:t>根据自然资源部下发巴宜区永久基本农田核实处置成果，加当嘎村落实永久基本农田保护任务</w:t>
      </w:r>
      <w:r>
        <w:rPr>
          <w:rFonts w:ascii="Times New Roman" w:hAnsi="Times New Roman" w:eastAsia="宋体"/>
          <w:color w:val="000000"/>
          <w:kern w:val="0"/>
          <w:sz w:val="30"/>
          <w:szCs w:val="30"/>
          <w:lang w:bidi="ar"/>
        </w:rPr>
        <w:t>18.73</w:t>
      </w:r>
      <w:r>
        <w:rPr>
          <w:rFonts w:ascii="仿宋" w:hAnsi="仿宋" w:eastAsia="仿宋" w:cs="仿宋"/>
          <w:color w:val="000000"/>
          <w:kern w:val="0"/>
          <w:sz w:val="30"/>
          <w:szCs w:val="30"/>
          <w:lang w:bidi="ar"/>
        </w:rPr>
        <w:t>公顷（</w:t>
      </w:r>
      <w:r>
        <w:rPr>
          <w:rFonts w:ascii="Times New Roman" w:hAnsi="Times New Roman" w:eastAsia="宋体"/>
          <w:color w:val="000000"/>
          <w:kern w:val="0"/>
          <w:sz w:val="30"/>
          <w:szCs w:val="30"/>
          <w:lang w:bidi="ar"/>
        </w:rPr>
        <w:t>280.94</w:t>
      </w:r>
      <w:r>
        <w:rPr>
          <w:rFonts w:hint="eastAsia" w:ascii="仿宋" w:hAnsi="仿宋" w:eastAsia="仿宋" w:cs="仿宋"/>
          <w:color w:val="000000"/>
          <w:kern w:val="0"/>
          <w:sz w:val="30"/>
          <w:szCs w:val="30"/>
          <w:lang w:bidi="ar"/>
        </w:rPr>
        <w:t>亩）</w:t>
      </w:r>
      <w:r>
        <w:rPr>
          <w:rFonts w:ascii="Times New Roman" w:hAnsi="Times New Roman" w:eastAsia="仿宋_GB2312"/>
          <w:sz w:val="30"/>
          <w:szCs w:val="30"/>
        </w:rPr>
        <w:t>。</w:t>
      </w:r>
    </w:p>
    <w:p w14:paraId="3FCA7969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生态保护红线。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根据巴宜区“三区三线”划定成果，加当嘎村落实生态保护红线5039.56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279D33CB">
      <w:pPr>
        <w:ind w:firstLine="600" w:firstLineChars="200"/>
        <w:rPr>
          <w:rFonts w:ascii="Times New Roman" w:hAnsi="Times New Roman" w:eastAsia="仿宋_GB2312"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_GB2312"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  <w:t>城镇开发边界。根据巴宜区“三区三线”划定成果，</w:t>
      </w:r>
      <w:r>
        <w:rPr>
          <w:rFonts w:hint="eastAsia" w:ascii="Times New Roman" w:hAnsi="Times New Roman" w:eastAsia="仿宋_GB2312"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  <w:t>加当嘎村落实城镇开发边界201.71公顷</w:t>
      </w:r>
      <w:r>
        <w:rPr>
          <w:rFonts w:ascii="Times New Roman" w:hAnsi="Times New Roman" w:eastAsia="仿宋_GB2312"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  <w:t>。</w:t>
      </w:r>
    </w:p>
    <w:p w14:paraId="17D787C6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村庄建设边界。</w:t>
      </w:r>
      <w:r>
        <w:rPr>
          <w:rFonts w:hint="eastAsia" w:ascii="Times New Roman" w:hAnsi="Times New Roman" w:eastAsia="仿宋_GB2312"/>
          <w:sz w:val="30"/>
          <w:szCs w:val="30"/>
        </w:rPr>
        <w:t>加当嘎村共划定村庄建设边界6.70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6D292519">
      <w:pPr>
        <w:numPr>
          <w:ilvl w:val="0"/>
          <w:numId w:val="4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国土空间用地结构优化</w:t>
      </w:r>
    </w:p>
    <w:p w14:paraId="356131D6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农用地优化。结合农业发展要求，统筹安排耕地、园地、林地等各类农用地，适当调整农用地结构。至规划期末，农用地面积</w:t>
      </w:r>
      <w:r>
        <w:rPr>
          <w:rFonts w:hint="eastAsia" w:ascii="Times New Roman" w:hAnsi="Times New Roman" w:eastAsia="仿宋_GB2312"/>
          <w:bCs/>
          <w:sz w:val="30"/>
          <w:szCs w:val="30"/>
        </w:rPr>
        <w:t>2368.02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06FA8F1D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建设用地优化。按照“底线约束、节约集约、盘活存量、严控增量”要求，依法保障农村住房建设需求，统筹考虑生活服务配套设施完善和产业发展用地需求。至规划期末，建设用地面积</w:t>
      </w:r>
      <w:r>
        <w:rPr>
          <w:rFonts w:hint="eastAsia" w:ascii="Times New Roman" w:hAnsi="Times New Roman" w:eastAsia="仿宋_GB2312"/>
          <w:sz w:val="30"/>
          <w:szCs w:val="30"/>
        </w:rPr>
        <w:t>8.89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7071A8BF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未利用地优化。至规划期末，未利用地面积</w:t>
      </w:r>
      <w:r>
        <w:rPr>
          <w:rFonts w:hint="eastAsia" w:ascii="Times New Roman" w:hAnsi="Times New Roman" w:eastAsia="仿宋_GB2312"/>
          <w:sz w:val="30"/>
          <w:szCs w:val="30"/>
        </w:rPr>
        <w:t>2821.64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3A0AC2B4">
      <w:pPr>
        <w:numPr>
          <w:ilvl w:val="0"/>
          <w:numId w:val="4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  <w:sectPr>
          <w:footerReference r:id="rId6" w:type="default"/>
          <w:pgSz w:w="11906" w:h="16838"/>
          <w:pgMar w:top="1440" w:right="1800" w:bottom="1440" w:left="1800" w:header="851" w:footer="992" w:gutter="0"/>
          <w:pgNumType w:fmt="decimal" w:start="1"/>
          <w:cols w:space="425" w:num="1"/>
          <w:docGrid w:type="lines" w:linePitch="312" w:charSpace="0"/>
        </w:sect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规划主要</w:t>
      </w:r>
      <w:r>
        <w:rPr>
          <w:rFonts w:hint="eastAsia" w:ascii="Times New Roman" w:hAnsi="Times New Roman" w:eastAsia="仿宋_GB2312"/>
          <w:b/>
          <w:bCs/>
          <w:sz w:val="30"/>
          <w:szCs w:val="30"/>
        </w:rPr>
        <w:t>图纸</w:t>
      </w:r>
    </w:p>
    <w:p w14:paraId="4133B420">
      <w:pPr>
        <w:jc w:val="center"/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sectPr>
          <w:pgSz w:w="16838" w:h="11906" w:orient="landscape"/>
          <w:pgMar w:top="1800" w:right="1440" w:bottom="1800" w:left="1440" w:header="851" w:footer="992" w:gutter="0"/>
          <w:pgNumType w:fmt="decimal"/>
          <w:cols w:space="425" w:num="1"/>
          <w:docGrid w:type="lines" w:linePitch="312" w:charSpace="0"/>
        </w:sectPr>
      </w:pPr>
      <w:r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drawing>
          <wp:inline distT="0" distB="0" distL="114300" distR="114300">
            <wp:extent cx="7450455" cy="5268595"/>
            <wp:effectExtent l="0" t="0" r="1905" b="4445"/>
            <wp:docPr id="10" name="图片 10" descr="巴宜区八一镇加当嘎村“多规合一”实用性村庄规划（2024-2035年）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巴宜区八一镇加当嘎村“多规合一”实用性村庄规划（2024-2035年）_7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45045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drawing>
          <wp:inline distT="0" distB="0" distL="114300" distR="114300">
            <wp:extent cx="7450455" cy="5268595"/>
            <wp:effectExtent l="0" t="0" r="1905" b="4445"/>
            <wp:docPr id="11" name="图片 11" descr="巴宜区八一镇加当嘎村“多规合一”实用性村庄规划（2024-2035年）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巴宜区八一镇加当嘎村“多规合一”实用性村庄规划（2024-2035年）_7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450455" cy="52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2EB52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r>
        <w:rPr>
          <w:rFonts w:ascii="Times New Roman" w:hAnsi="Times New Roman" w:eastAsia="仿宋_GB2312"/>
          <w:b/>
          <w:bCs/>
          <w:sz w:val="32"/>
          <w:szCs w:val="30"/>
        </w:rPr>
        <w:t>巴宜区</w:t>
      </w:r>
      <w:r>
        <w:rPr>
          <w:rFonts w:hint="eastAsia" w:ascii="Times New Roman" w:hAnsi="Times New Roman" w:eastAsia="仿宋_GB2312"/>
          <w:b/>
          <w:bCs/>
          <w:sz w:val="32"/>
          <w:szCs w:val="30"/>
        </w:rPr>
        <w:t>八一</w:t>
      </w:r>
      <w:r>
        <w:rPr>
          <w:rFonts w:ascii="Times New Roman" w:hAnsi="Times New Roman" w:eastAsia="仿宋_GB2312"/>
          <w:b/>
          <w:bCs/>
          <w:sz w:val="32"/>
          <w:szCs w:val="30"/>
        </w:rPr>
        <w:t>镇</w:t>
      </w:r>
      <w:r>
        <w:rPr>
          <w:rFonts w:hint="eastAsia" w:ascii="Times New Roman" w:hAnsi="Times New Roman" w:eastAsia="仿宋_GB2312"/>
          <w:b/>
          <w:bCs/>
          <w:sz w:val="32"/>
          <w:szCs w:val="30"/>
        </w:rPr>
        <w:t>加乃</w:t>
      </w:r>
      <w:r>
        <w:rPr>
          <w:rFonts w:ascii="Times New Roman" w:hAnsi="Times New Roman" w:eastAsia="仿宋_GB2312"/>
          <w:b/>
          <w:bCs/>
          <w:sz w:val="32"/>
          <w:szCs w:val="30"/>
        </w:rPr>
        <w:t>村“多规合一”实用性村庄规划</w:t>
      </w:r>
    </w:p>
    <w:p w14:paraId="314F1E29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r>
        <w:rPr>
          <w:rFonts w:ascii="Times New Roman" w:hAnsi="Times New Roman" w:eastAsia="仿宋_GB2312"/>
          <w:b/>
          <w:bCs/>
          <w:sz w:val="32"/>
          <w:szCs w:val="30"/>
        </w:rPr>
        <w:t>（2024-2035年）</w:t>
      </w:r>
    </w:p>
    <w:p w14:paraId="2247828D">
      <w:pPr>
        <w:numPr>
          <w:ilvl w:val="0"/>
          <w:numId w:val="5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规划范围</w:t>
      </w:r>
    </w:p>
    <w:p w14:paraId="7833D3DA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本次规划范围为</w:t>
      </w:r>
      <w:r>
        <w:rPr>
          <w:rFonts w:hint="eastAsia" w:ascii="Times New Roman" w:hAnsi="Times New Roman" w:eastAsia="仿宋_GB2312"/>
          <w:sz w:val="30"/>
          <w:szCs w:val="30"/>
        </w:rPr>
        <w:t>八一</w:t>
      </w:r>
      <w:r>
        <w:rPr>
          <w:rFonts w:ascii="Times New Roman" w:hAnsi="Times New Roman" w:eastAsia="仿宋_GB2312"/>
          <w:sz w:val="30"/>
          <w:szCs w:val="30"/>
        </w:rPr>
        <w:t>镇</w:t>
      </w:r>
      <w:r>
        <w:rPr>
          <w:rFonts w:hint="eastAsia" w:ascii="Times New Roman" w:hAnsi="Times New Roman" w:eastAsia="仿宋_GB2312"/>
          <w:sz w:val="30"/>
          <w:szCs w:val="30"/>
        </w:rPr>
        <w:t>加乃</w:t>
      </w:r>
      <w:r>
        <w:rPr>
          <w:rFonts w:ascii="Times New Roman" w:hAnsi="Times New Roman" w:eastAsia="仿宋_GB2312"/>
          <w:sz w:val="30"/>
          <w:szCs w:val="30"/>
        </w:rPr>
        <w:t>村村域全部国土空间，规划总面积</w:t>
      </w:r>
      <w:r>
        <w:rPr>
          <w:rFonts w:hint="eastAsia" w:ascii="Times New Roman" w:hAnsi="Times New Roman" w:eastAsia="仿宋_GB2312"/>
          <w:sz w:val="30"/>
          <w:szCs w:val="30"/>
        </w:rPr>
        <w:t>13420.83公顷。</w:t>
      </w:r>
    </w:p>
    <w:p w14:paraId="08479050">
      <w:pPr>
        <w:numPr>
          <w:ilvl w:val="0"/>
          <w:numId w:val="5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规划期限</w:t>
      </w:r>
    </w:p>
    <w:p w14:paraId="050F590C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本次规划期限为2024-2035年。规划基期年为2023年，目标年为2035年，近期至2030年。</w:t>
      </w:r>
    </w:p>
    <w:p w14:paraId="7420F771">
      <w:pPr>
        <w:numPr>
          <w:ilvl w:val="0"/>
          <w:numId w:val="5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规划定位</w:t>
      </w:r>
    </w:p>
    <w:p w14:paraId="45AE73A8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hint="eastAsia" w:ascii="Times New Roman" w:hAnsi="Times New Roman" w:eastAsia="仿宋_GB2312"/>
          <w:sz w:val="30"/>
          <w:szCs w:val="30"/>
        </w:rPr>
        <w:t>依托加乃村紧邻多布湖景区区位条件优势及产业发展基础，不断推进旅游服务设施建设，完善公共服务设施及基础设施配套，打造多布湖景区服务驿站、巴宜区乡村振兴示范村。</w:t>
      </w:r>
    </w:p>
    <w:p w14:paraId="468CA75D">
      <w:pPr>
        <w:numPr>
          <w:ilvl w:val="0"/>
          <w:numId w:val="5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底线约束</w:t>
      </w:r>
    </w:p>
    <w:p w14:paraId="2191260E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耕地保护目标。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根据巴宜区“三区三线”划定成果，加乃村落实耕地保护目标105.56公顷（1583.37亩）。</w:t>
      </w:r>
    </w:p>
    <w:p w14:paraId="7ABDBFA6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永久基本农田。</w:t>
      </w:r>
      <w:r>
        <w:rPr>
          <w:rFonts w:hint="eastAsia" w:ascii="Times New Roman" w:hAnsi="Times New Roman" w:eastAsia="仿宋_GB2312"/>
          <w:sz w:val="30"/>
          <w:szCs w:val="30"/>
        </w:rPr>
        <w:t>根据自然资源部下发巴宜区永久基本农田核实处置成果，加乃村落实永久基本农田保护任务76.68公顷（1150.27亩）。</w:t>
      </w:r>
    </w:p>
    <w:p w14:paraId="3F541A60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生态保护红线。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根据巴宜区“三区三线”划定成果，加乃村落实生态保护红线11519.09公顷</w:t>
      </w:r>
      <w:r>
        <w:rPr>
          <w:rFonts w:ascii="Times New Roman" w:hAnsi="Times New Roman" w:eastAsia="仿宋_GB2312"/>
          <w:sz w:val="30"/>
          <w:szCs w:val="30"/>
        </w:rPr>
        <w:t>。</w:t>
      </w:r>
    </w:p>
    <w:p w14:paraId="4A8BB8F1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村庄建设边界。</w:t>
      </w:r>
      <w:r>
        <w:rPr>
          <w:rFonts w:hint="eastAsia" w:ascii="Times New Roman" w:hAnsi="Times New Roman" w:eastAsia="仿宋_GB2312"/>
          <w:sz w:val="30"/>
          <w:szCs w:val="30"/>
        </w:rPr>
        <w:t>加乃村共划定村庄建设边界16.97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28140DA3">
      <w:pPr>
        <w:ind w:firstLine="600" w:firstLineChars="200"/>
        <w:rPr>
          <w:rFonts w:hint="eastAsia" w:ascii="Times New Roman" w:hAnsi="Times New Roman" w:eastAsia="仿宋_GB2312"/>
          <w:sz w:val="30"/>
          <w:szCs w:val="30"/>
        </w:rPr>
      </w:pPr>
    </w:p>
    <w:p w14:paraId="359A5191">
      <w:pPr>
        <w:numPr>
          <w:ilvl w:val="0"/>
          <w:numId w:val="5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国土空间用地结构优化</w:t>
      </w:r>
    </w:p>
    <w:p w14:paraId="71F88672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农用地优化。结合农业发展要求，统筹安排耕地、园地、林地等各类农用地，适当调整农用地结构。至规划期末，农用地面积</w:t>
      </w:r>
      <w:r>
        <w:rPr>
          <w:rFonts w:hint="eastAsia" w:ascii="Times New Roman" w:hAnsi="Times New Roman" w:eastAsia="仿宋_GB2312"/>
          <w:bCs/>
          <w:sz w:val="30"/>
          <w:szCs w:val="30"/>
        </w:rPr>
        <w:t>9303.81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7734F4AD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建设用地优化。按照“底线约束、节约集约、盘活存量、严控增量”要求，依法保障农村住房建设需求，统筹考虑生活服务配套设施完善和产业发展用地需求。至规划期末，建设用地面积</w:t>
      </w:r>
      <w:r>
        <w:rPr>
          <w:rFonts w:hint="eastAsia" w:ascii="Times New Roman" w:hAnsi="Times New Roman" w:eastAsia="仿宋_GB2312"/>
          <w:sz w:val="30"/>
          <w:szCs w:val="30"/>
        </w:rPr>
        <w:t>57.74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6A0EC2A2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未利用地优化。至规划期末，未利用地面积</w:t>
      </w:r>
      <w:r>
        <w:rPr>
          <w:rFonts w:hint="eastAsia" w:ascii="Times New Roman" w:hAnsi="Times New Roman" w:eastAsia="仿宋_GB2312"/>
          <w:sz w:val="30"/>
          <w:szCs w:val="30"/>
        </w:rPr>
        <w:t>4059.28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4471B451">
      <w:pPr>
        <w:numPr>
          <w:ilvl w:val="0"/>
          <w:numId w:val="5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规划主要图纸</w:t>
      </w:r>
    </w:p>
    <w:p w14:paraId="6EE608FD">
      <w:pPr>
        <w:rPr>
          <w:rStyle w:val="17"/>
        </w:rPr>
      </w:pPr>
    </w:p>
    <w:p w14:paraId="0D19ADE2">
      <w:pPr>
        <w:rPr>
          <w:rStyle w:val="17"/>
        </w:rPr>
      </w:pPr>
    </w:p>
    <w:p w14:paraId="047B0E58">
      <w:pPr>
        <w:rPr>
          <w:rStyle w:val="17"/>
        </w:rPr>
      </w:pPr>
    </w:p>
    <w:p w14:paraId="482F744B">
      <w:pPr>
        <w:rPr>
          <w:rStyle w:val="17"/>
        </w:rPr>
      </w:pPr>
    </w:p>
    <w:p w14:paraId="19B14E7E">
      <w:pPr>
        <w:rPr>
          <w:rStyle w:val="17"/>
          <w:rFonts w:hint="eastAsia" w:eastAsia="等线"/>
          <w:lang w:eastAsia="zh-CN"/>
        </w:rPr>
      </w:pPr>
    </w:p>
    <w:p w14:paraId="3E888943">
      <w:pPr>
        <w:rPr>
          <w:rFonts w:hint="eastAsia" w:ascii="Times New Roman" w:hAnsi="Times New Roman" w:eastAsia="仿宋_GB2312"/>
          <w:b w:val="0"/>
          <w:bCs w:val="0"/>
          <w:sz w:val="30"/>
          <w:szCs w:val="30"/>
          <w:lang w:eastAsia="zh-CN"/>
        </w:rPr>
      </w:pPr>
      <w:r>
        <w:rPr>
          <w:rFonts w:hint="eastAsia" w:ascii="Times New Roman" w:hAnsi="Times New Roman" w:eastAsia="仿宋_GB2312"/>
          <w:b w:val="0"/>
          <w:bCs w:val="0"/>
          <w:sz w:val="30"/>
          <w:szCs w:val="30"/>
          <w:lang w:eastAsia="zh-CN"/>
        </w:rPr>
        <w:drawing>
          <wp:inline distT="0" distB="0" distL="114300" distR="114300">
            <wp:extent cx="5346065" cy="7560310"/>
            <wp:effectExtent l="0" t="0" r="3175" b="13970"/>
            <wp:docPr id="12" name="图片 12" descr="巴宜区八一镇加乃村“多规合一”实用性村庄规划（2024-2035年）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巴宜区八一镇加乃村“多规合一”实用性村庄规划（2024-2035年）_6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4606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仿宋_GB2312"/>
          <w:b w:val="0"/>
          <w:bCs w:val="0"/>
          <w:sz w:val="30"/>
          <w:szCs w:val="30"/>
          <w:lang w:eastAsia="zh-CN"/>
        </w:rPr>
        <w:drawing>
          <wp:inline distT="0" distB="0" distL="114300" distR="114300">
            <wp:extent cx="5346065" cy="7560310"/>
            <wp:effectExtent l="0" t="0" r="3175" b="13970"/>
            <wp:docPr id="13" name="图片 13" descr="巴宜区八一镇加乃村“多规合一”实用性村庄规划（2024-2035年）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巴宜区八一镇加乃村“多规合一”实用性村庄规划（2024-2035年）_7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4606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4C5B9">
      <w:pPr>
        <w:jc w:val="center"/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  <w:sectPr>
          <w:footerReference r:id="rId7" w:type="default"/>
          <w:pgSz w:w="11906" w:h="16838"/>
          <w:pgMar w:top="1440" w:right="1800" w:bottom="1440" w:left="1800" w:header="851" w:footer="992" w:gutter="0"/>
          <w:pgNumType w:fmt="decimal" w:start="1"/>
          <w:cols w:space="425" w:num="1"/>
          <w:docGrid w:type="lines" w:linePitch="312" w:charSpace="0"/>
        </w:sectPr>
      </w:pPr>
    </w:p>
    <w:p w14:paraId="67D27A47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bookmarkStart w:id="4" w:name="_GoBack"/>
      <w:bookmarkEnd w:id="4"/>
      <w:r>
        <w:rPr>
          <w:rFonts w:ascii="Times New Roman" w:hAnsi="Times New Roman" w:eastAsia="仿宋_GB2312"/>
          <w:b/>
          <w:bCs/>
          <w:sz w:val="32"/>
          <w:szCs w:val="30"/>
        </w:rPr>
        <w:t>巴宜区</w:t>
      </w:r>
      <w:r>
        <w:rPr>
          <w:rFonts w:hint="eastAsia" w:ascii="Times New Roman" w:hAnsi="Times New Roman" w:eastAsia="仿宋_GB2312"/>
          <w:b/>
          <w:bCs/>
          <w:sz w:val="32"/>
          <w:szCs w:val="30"/>
        </w:rPr>
        <w:t>八一</w:t>
      </w:r>
      <w:r>
        <w:rPr>
          <w:rFonts w:ascii="Times New Roman" w:hAnsi="Times New Roman" w:eastAsia="仿宋_GB2312"/>
          <w:b/>
          <w:bCs/>
          <w:sz w:val="32"/>
          <w:szCs w:val="30"/>
        </w:rPr>
        <w:t>镇</w:t>
      </w:r>
      <w:r>
        <w:rPr>
          <w:rFonts w:hint="eastAsia" w:ascii="Times New Roman" w:hAnsi="Times New Roman" w:eastAsia="仿宋_GB2312"/>
          <w:b/>
          <w:bCs/>
          <w:sz w:val="32"/>
          <w:szCs w:val="30"/>
        </w:rPr>
        <w:t>唐地</w:t>
      </w:r>
      <w:r>
        <w:rPr>
          <w:rFonts w:ascii="Times New Roman" w:hAnsi="Times New Roman" w:eastAsia="仿宋_GB2312"/>
          <w:b/>
          <w:bCs/>
          <w:sz w:val="32"/>
          <w:szCs w:val="30"/>
        </w:rPr>
        <w:t>村“多规合一”实用性村庄规划</w:t>
      </w:r>
    </w:p>
    <w:p w14:paraId="20ED4756">
      <w:pPr>
        <w:jc w:val="center"/>
        <w:rPr>
          <w:rFonts w:ascii="Times New Roman" w:hAnsi="Times New Roman" w:eastAsia="仿宋_GB2312"/>
          <w:b/>
          <w:bCs/>
          <w:sz w:val="32"/>
          <w:szCs w:val="30"/>
        </w:rPr>
      </w:pPr>
      <w:r>
        <w:rPr>
          <w:rFonts w:ascii="Times New Roman" w:hAnsi="Times New Roman" w:eastAsia="仿宋_GB2312"/>
          <w:b/>
          <w:bCs/>
          <w:sz w:val="32"/>
          <w:szCs w:val="30"/>
        </w:rPr>
        <w:t>（2024-2035年）</w:t>
      </w:r>
    </w:p>
    <w:p w14:paraId="2262AA1C">
      <w:pPr>
        <w:numPr>
          <w:ilvl w:val="0"/>
          <w:numId w:val="6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规划范围</w:t>
      </w:r>
    </w:p>
    <w:p w14:paraId="7401DB37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本次规划范围为</w:t>
      </w:r>
      <w:r>
        <w:rPr>
          <w:rFonts w:hint="eastAsia" w:ascii="Times New Roman" w:hAnsi="Times New Roman" w:eastAsia="仿宋_GB2312"/>
          <w:sz w:val="30"/>
          <w:szCs w:val="30"/>
        </w:rPr>
        <w:t>八一</w:t>
      </w:r>
      <w:r>
        <w:rPr>
          <w:rFonts w:ascii="Times New Roman" w:hAnsi="Times New Roman" w:eastAsia="仿宋_GB2312"/>
          <w:sz w:val="30"/>
          <w:szCs w:val="30"/>
        </w:rPr>
        <w:t>镇</w:t>
      </w:r>
      <w:r>
        <w:rPr>
          <w:rFonts w:hint="eastAsia" w:ascii="Times New Roman" w:hAnsi="Times New Roman" w:eastAsia="仿宋_GB2312"/>
          <w:sz w:val="30"/>
          <w:szCs w:val="30"/>
        </w:rPr>
        <w:t>唐地</w:t>
      </w:r>
      <w:r>
        <w:rPr>
          <w:rFonts w:ascii="Times New Roman" w:hAnsi="Times New Roman" w:eastAsia="仿宋_GB2312"/>
          <w:sz w:val="30"/>
          <w:szCs w:val="30"/>
        </w:rPr>
        <w:t>村村域全部国土空间，规划总面积</w:t>
      </w:r>
      <w:r>
        <w:rPr>
          <w:rFonts w:hint="eastAsia" w:ascii="Times New Roman" w:hAnsi="Times New Roman" w:eastAsia="仿宋_GB2312"/>
          <w:sz w:val="30"/>
          <w:szCs w:val="30"/>
        </w:rPr>
        <w:t>14370.30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00A3F021">
      <w:pPr>
        <w:numPr>
          <w:ilvl w:val="0"/>
          <w:numId w:val="6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规划期限</w:t>
      </w:r>
    </w:p>
    <w:p w14:paraId="5832BD6A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本次规划期限为2024-2035年。规划基期年为2023年，目标年为2035年，近期至2030年。</w:t>
      </w:r>
    </w:p>
    <w:p w14:paraId="21A2E6BB">
      <w:pPr>
        <w:numPr>
          <w:ilvl w:val="0"/>
          <w:numId w:val="6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规划定位</w:t>
      </w:r>
    </w:p>
    <w:p w14:paraId="0149145C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hint="eastAsia" w:ascii="Times New Roman" w:hAnsi="Times New Roman" w:eastAsia="仿宋_GB2312"/>
          <w:sz w:val="30"/>
          <w:szCs w:val="30"/>
        </w:rPr>
        <w:t>依托措木及日国家</w:t>
      </w:r>
      <w:r>
        <w:rPr>
          <w:rFonts w:ascii="Times New Roman" w:hAnsi="Times New Roman" w:eastAsia="仿宋_GB2312"/>
          <w:sz w:val="30"/>
          <w:szCs w:val="30"/>
        </w:rPr>
        <w:t>AAAA级旅游景区、国道318交通优势</w:t>
      </w:r>
      <w:r>
        <w:rPr>
          <w:rFonts w:hint="eastAsia" w:ascii="Times New Roman" w:hAnsi="Times New Roman" w:eastAsia="仿宋_GB2312"/>
          <w:sz w:val="30"/>
          <w:szCs w:val="30"/>
        </w:rPr>
        <w:t>以及紧邻林芝市中心城区的区位条件，发挥高原特色农业与生态资源优势，重点发展观光服务、高原农业体验、藏式文化展示功能，打造高原冰湖农旅融合门户村。</w:t>
      </w:r>
    </w:p>
    <w:p w14:paraId="16EC73DF">
      <w:pPr>
        <w:numPr>
          <w:ilvl w:val="0"/>
          <w:numId w:val="6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底线约束</w:t>
      </w:r>
    </w:p>
    <w:p w14:paraId="66BF3513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耕地保护目标。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根据巴宜区“三区三线”划定成果，唐地村落实耕地保护目标42.79公顷（641.85亩）</w:t>
      </w:r>
      <w:r>
        <w:rPr>
          <w:rFonts w:ascii="Times New Roman" w:hAnsi="Times New Roman" w:eastAsia="仿宋_GB2312"/>
          <w:sz w:val="30"/>
          <w:szCs w:val="30"/>
        </w:rPr>
        <w:t>。</w:t>
      </w:r>
    </w:p>
    <w:p w14:paraId="19A9D5CB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永久基本农田。</w:t>
      </w:r>
      <w:r>
        <w:rPr>
          <w:rFonts w:hint="eastAsia" w:ascii="Times New Roman" w:hAnsi="Times New Roman" w:eastAsia="仿宋_GB2312"/>
          <w:sz w:val="30"/>
          <w:szCs w:val="30"/>
        </w:rPr>
        <w:t>根据自然资源部下发巴宜区永久基本农田核实处置成果，唐地村落实永久基本农田保护任务34.70公顷（520.47亩）。</w:t>
      </w:r>
    </w:p>
    <w:p w14:paraId="08B40AD7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生态保护红线。</w:t>
      </w:r>
      <w:r>
        <w:rPr>
          <w:rFonts w:hint="eastAsia" w:ascii="Times New Roman" w:hAnsi="Times New Roman" w:eastAsia="仿宋_GB2312"/>
          <w:sz w:val="30"/>
          <w:szCs w:val="30"/>
        </w:rPr>
        <w:t>根据巴宜区“三区三线”划定成果，唐地村落实生态保护红线13734.89公</w:t>
      </w:r>
      <w:r>
        <w:rPr>
          <w:rFonts w:ascii="Times New Roman" w:hAnsi="Times New Roman" w:eastAsia="仿宋_GB2312"/>
          <w:sz w:val="30"/>
          <w:szCs w:val="30"/>
        </w:rPr>
        <w:t>顷。</w:t>
      </w:r>
    </w:p>
    <w:p w14:paraId="494B5D69">
      <w:pPr>
        <w:ind w:firstLine="600" w:firstLineChars="200"/>
        <w:rPr>
          <w:rFonts w:ascii="Times New Roman" w:hAnsi="Times New Roman" w:eastAsia="仿宋_GB2312"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 w:eastAsia="仿宋_GB2312"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  <w:t>城镇开发边界。根据巴宜区“三区三线”划定成果，</w:t>
      </w:r>
      <w:r>
        <w:rPr>
          <w:rFonts w:hint="eastAsia" w:ascii="Times New Roman" w:hAnsi="Times New Roman" w:eastAsia="仿宋_GB2312"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  <w:t>唐地村落实城镇开发边界42.36公顷</w:t>
      </w:r>
      <w:r>
        <w:rPr>
          <w:rFonts w:ascii="Times New Roman" w:hAnsi="Times New Roman" w:eastAsia="仿宋_GB2312"/>
          <w:color w:val="000000" w:themeColor="text1"/>
          <w:sz w:val="30"/>
          <w:szCs w:val="30"/>
          <w14:textFill>
            <w14:solidFill>
              <w14:schemeClr w14:val="tx1"/>
            </w14:solidFill>
          </w14:textFill>
        </w:rPr>
        <w:t>。</w:t>
      </w:r>
    </w:p>
    <w:p w14:paraId="4315B2CA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村庄建设边界。</w:t>
      </w:r>
      <w:r>
        <w:rPr>
          <w:rFonts w:hint="eastAsia" w:ascii="Times New Roman" w:hAnsi="Times New Roman" w:eastAsia="仿宋_GB2312"/>
          <w:sz w:val="30"/>
          <w:szCs w:val="30"/>
        </w:rPr>
        <w:t>唐地村共划定村庄建设边界25.02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44047CC3">
      <w:pPr>
        <w:numPr>
          <w:ilvl w:val="0"/>
          <w:numId w:val="6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国土空间用地结构优化</w:t>
      </w:r>
    </w:p>
    <w:p w14:paraId="2AFC25D3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农用地优化。结合农业发展要求，统筹安排耕地、园地、林地等各类农用地，适当调整农用地结构。至规划期末，农用地面积</w:t>
      </w:r>
      <w:r>
        <w:rPr>
          <w:rFonts w:hint="eastAsia" w:ascii="Times New Roman" w:hAnsi="Times New Roman" w:eastAsia="仿宋_GB2312"/>
          <w:bCs/>
          <w:sz w:val="30"/>
          <w:szCs w:val="30"/>
        </w:rPr>
        <w:t>10543.83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0944247F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建设用地优化。按照“底线约束、节约集约、盘活存量、严控增量”要求，依法保障农村住房建设需求，统筹考虑生活服务配套设施完善和产业发展用地需求。至规划期末，建设用地面积</w:t>
      </w:r>
      <w:r>
        <w:rPr>
          <w:rFonts w:hint="eastAsia" w:ascii="Times New Roman" w:hAnsi="Times New Roman" w:eastAsia="仿宋_GB2312"/>
          <w:sz w:val="30"/>
          <w:szCs w:val="30"/>
        </w:rPr>
        <w:t>76.73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7BF50874">
      <w:pPr>
        <w:ind w:firstLine="600" w:firstLineChars="200"/>
        <w:rPr>
          <w:rFonts w:ascii="Times New Roman" w:hAnsi="Times New Roman" w:eastAsia="仿宋_GB2312"/>
          <w:sz w:val="30"/>
          <w:szCs w:val="30"/>
        </w:rPr>
      </w:pPr>
      <w:r>
        <w:rPr>
          <w:rFonts w:ascii="Times New Roman" w:hAnsi="Times New Roman" w:eastAsia="仿宋_GB2312"/>
          <w:sz w:val="30"/>
          <w:szCs w:val="30"/>
        </w:rPr>
        <w:t>未利用地优化。至规划期末，未利用地面积</w:t>
      </w:r>
      <w:r>
        <w:rPr>
          <w:rFonts w:hint="eastAsia" w:ascii="Times New Roman" w:hAnsi="Times New Roman" w:eastAsia="仿宋_GB2312"/>
          <w:sz w:val="30"/>
          <w:szCs w:val="30"/>
        </w:rPr>
        <w:t>3707.38</w:t>
      </w:r>
      <w:r>
        <w:rPr>
          <w:rFonts w:ascii="Times New Roman" w:hAnsi="Times New Roman" w:eastAsia="仿宋_GB2312"/>
          <w:sz w:val="30"/>
          <w:szCs w:val="30"/>
        </w:rPr>
        <w:t>公顷。</w:t>
      </w:r>
    </w:p>
    <w:p w14:paraId="0BA99BE7">
      <w:pPr>
        <w:numPr>
          <w:ilvl w:val="0"/>
          <w:numId w:val="6"/>
        </w:numPr>
        <w:ind w:firstLine="602" w:firstLineChars="200"/>
        <w:rPr>
          <w:rFonts w:ascii="Times New Roman" w:hAnsi="Times New Roman" w:eastAsia="仿宋_GB2312"/>
          <w:b/>
          <w:bCs/>
          <w:sz w:val="30"/>
          <w:szCs w:val="30"/>
        </w:rPr>
      </w:pPr>
      <w:r>
        <w:rPr>
          <w:rFonts w:ascii="Times New Roman" w:hAnsi="Times New Roman" w:eastAsia="仿宋_GB2312"/>
          <w:b/>
          <w:bCs/>
          <w:sz w:val="30"/>
          <w:szCs w:val="30"/>
        </w:rPr>
        <w:t>规划主要图纸</w:t>
      </w:r>
    </w:p>
    <w:p w14:paraId="04485118">
      <w:pPr>
        <w:rPr>
          <w:rStyle w:val="17"/>
        </w:rPr>
      </w:pPr>
    </w:p>
    <w:p w14:paraId="3FB97A80">
      <w:pPr>
        <w:rPr>
          <w:rStyle w:val="17"/>
        </w:rPr>
      </w:pPr>
    </w:p>
    <w:p w14:paraId="7166734A">
      <w:pPr>
        <w:rPr>
          <w:rStyle w:val="17"/>
        </w:rPr>
      </w:pPr>
    </w:p>
    <w:p w14:paraId="60256CD2">
      <w:pPr>
        <w:rPr>
          <w:rStyle w:val="17"/>
        </w:rPr>
      </w:pPr>
    </w:p>
    <w:p w14:paraId="4BE65AB4">
      <w:pPr>
        <w:rPr>
          <w:rStyle w:val="17"/>
        </w:rPr>
      </w:pPr>
    </w:p>
    <w:p w14:paraId="11EC757E">
      <w:pPr>
        <w:rPr>
          <w:rStyle w:val="17"/>
        </w:rPr>
      </w:pPr>
    </w:p>
    <w:p w14:paraId="681B3790">
      <w:pPr>
        <w:rPr>
          <w:rStyle w:val="17"/>
        </w:rPr>
      </w:pPr>
    </w:p>
    <w:p w14:paraId="516EEC91">
      <w:pPr>
        <w:rPr>
          <w:rStyle w:val="17"/>
        </w:rPr>
      </w:pPr>
    </w:p>
    <w:p w14:paraId="7C481D3E">
      <w:pPr>
        <w:rPr>
          <w:rStyle w:val="17"/>
        </w:rPr>
      </w:pPr>
    </w:p>
    <w:p w14:paraId="0D2B41A9">
      <w:pPr>
        <w:rPr>
          <w:rStyle w:val="17"/>
          <w:rFonts w:hint="eastAsia" w:eastAsia="等线"/>
          <w:lang w:eastAsia="zh-CN"/>
        </w:rPr>
      </w:pPr>
    </w:p>
    <w:p w14:paraId="5B807EB5">
      <w:pPr>
        <w:rPr>
          <w:rStyle w:val="17"/>
        </w:rPr>
      </w:pPr>
    </w:p>
    <w:p w14:paraId="22688E3C">
      <w:pPr>
        <w:rPr>
          <w:rStyle w:val="17"/>
        </w:rPr>
      </w:pPr>
    </w:p>
    <w:p w14:paraId="0869D1A7">
      <w:pPr>
        <w:rPr>
          <w:rStyle w:val="17"/>
        </w:rPr>
      </w:pPr>
    </w:p>
    <w:p w14:paraId="3FCB7656">
      <w:pPr>
        <w:rPr>
          <w:rStyle w:val="17"/>
        </w:rPr>
      </w:pPr>
    </w:p>
    <w:p w14:paraId="0614E2A6">
      <w:pPr>
        <w:rPr>
          <w:rStyle w:val="17"/>
        </w:rPr>
      </w:pPr>
    </w:p>
    <w:p w14:paraId="10009DE3">
      <w:pPr>
        <w:jc w:val="center"/>
        <w:rPr>
          <w:rFonts w:hint="eastAsia" w:ascii="Times New Roman" w:hAnsi="Times New Roman" w:eastAsia="仿宋_GB2312"/>
          <w:b/>
          <w:bCs/>
          <w:sz w:val="30"/>
          <w:szCs w:val="30"/>
          <w:lang w:eastAsia="zh-CN"/>
        </w:rPr>
      </w:pPr>
      <w:r>
        <w:rPr>
          <w:rStyle w:val="17"/>
          <w:rFonts w:hint="eastAsia" w:eastAsia="等线"/>
          <w:lang w:eastAsia="zh-CN"/>
        </w:rPr>
        <w:drawing>
          <wp:inline distT="0" distB="0" distL="114300" distR="114300">
            <wp:extent cx="5346065" cy="7560310"/>
            <wp:effectExtent l="0" t="0" r="3175" b="13970"/>
            <wp:docPr id="17" name="图片 17" descr="巴宜区八一镇唐地村“多规合一”实用性村庄规划（2024-2035年）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巴宜区八一镇唐地村“多规合一”实用性村庄规划（2024-2035年）_7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4606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17"/>
          <w:rFonts w:hint="eastAsia" w:eastAsia="等线"/>
          <w:lang w:eastAsia="zh-CN"/>
        </w:rPr>
        <w:drawing>
          <wp:inline distT="0" distB="0" distL="114300" distR="114300">
            <wp:extent cx="5346065" cy="7560310"/>
            <wp:effectExtent l="0" t="0" r="3175" b="13970"/>
            <wp:docPr id="18" name="图片 18" descr="巴宜区八一镇唐地村“多规合一”实用性村庄规划（2024-2035年）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巴宜区八一镇唐地村“多规合一”实用性村庄规划（2024-2035年）_7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46065" cy="75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erReference r:id="rId8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1"/>
    <w:family w:val="roma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00000001" w:usb1="080E0000" w:usb2="00000000" w:usb3="00000000" w:csb0="00040000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1" w:fontKey="{05952A77-ED35-456C-8675-1092B69F0DF0}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2" w:fontKey="{CD31969C-2C1A-4527-A093-FA3631356869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3" w:fontKey="{5B428E5C-50CD-4B31-AAE2-F3F740909376}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08DB2A9">
    <w:pPr>
      <w:tabs>
        <w:tab w:val="center" w:pos="4153"/>
        <w:tab w:val="right" w:pos="8306"/>
      </w:tabs>
      <w:snapToGrid w:val="0"/>
      <w:jc w:val="left"/>
      <w:rPr>
        <w:sz w:val="18"/>
        <w:szCs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A6B19D6">
                          <w:pPr>
                            <w:pStyle w:val="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zXDnwqAgAAV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CLNmWdjqneUROirm&#10;7eoYIGCnaxSlV2LQCtPWdWZ4GXGc/9x3UY9/g+Vv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A6B19D6">
                    <w:pPr>
                      <w:pStyle w:val="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4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hint="eastAsia"/>
        <w:sz w:val="18"/>
        <w:szCs w:val="18"/>
        <w:lang w:eastAsia="zh-CN"/>
      </w:rP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2AE92B">
    <w:pPr>
      <w:tabs>
        <w:tab w:val="center" w:pos="4153"/>
        <w:tab w:val="right" w:pos="8306"/>
      </w:tabs>
      <w:snapToGrid w:val="0"/>
      <w:jc w:val="left"/>
      <w:rPr>
        <w:sz w:val="18"/>
        <w:szCs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A15E335">
                          <w:pPr>
                            <w:pStyle w:val="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L0O3bcsAgAAVQQAAA4AAABkcnMvZTJvRG9jLnhtbK1UzY7TMBC+I/EO&#10;lu80aStW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pm/T9sLVA3CpkSOS6B4brdDsm57Z3uRn&#10;EHOm6wxv+aZC8i3z4YE5tAIejGEJ91gKaZDE9BYlpXFf/3Ue41EheCmp0VoZ1ZgkSuQHjcoBMAyG&#10;G4z9YOijujPo1TGG0PLWxAUX5GAWzqgvmKBVzAEX0xyZMhoG8y507Y0J5GK1aoPQa5aFrd5ZHqGj&#10;eN6ujgECtrpGUToleq3QbW1l+smI7fznvo16+hssHwF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vQ7dtywCAABV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4A15E335">
                    <w:pPr>
                      <w:pStyle w:val="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5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D0CEF36">
    <w:pPr>
      <w:tabs>
        <w:tab w:val="center" w:pos="4153"/>
        <w:tab w:val="right" w:pos="8306"/>
      </w:tabs>
      <w:snapToGrid w:val="0"/>
      <w:jc w:val="left"/>
      <w:rPr>
        <w:sz w:val="18"/>
        <w:szCs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9" name="文本框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14A3A6B">
                          <w:pPr>
                            <w:pStyle w:val="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4feNIywCAABX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14A3A6B">
                    <w:pPr>
                      <w:pStyle w:val="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5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0D877E6">
    <w:pPr>
      <w:tabs>
        <w:tab w:val="center" w:pos="4153"/>
        <w:tab w:val="right" w:pos="8306"/>
      </w:tabs>
      <w:snapToGrid w:val="0"/>
      <w:jc w:val="left"/>
      <w:rPr>
        <w:sz w:val="18"/>
        <w:szCs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9" name="文本框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6302BFD">
                          <w:pPr>
                            <w:pStyle w:val="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yr+j5SwCAABV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6302BFD">
                    <w:pPr>
                      <w:pStyle w:val="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4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45FD814">
    <w:pPr>
      <w:tabs>
        <w:tab w:val="center" w:pos="4153"/>
        <w:tab w:val="right" w:pos="8306"/>
      </w:tabs>
      <w:snapToGrid w:val="0"/>
      <w:jc w:val="left"/>
      <w:rPr>
        <w:sz w:val="18"/>
        <w:szCs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4" name="文本框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51D1068">
                          <w:pPr>
                            <w:pStyle w:val="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K+3r1iwCAABX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51D1068">
                    <w:pPr>
                      <w:pStyle w:val="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E8F3C8">
    <w:pPr>
      <w:tabs>
        <w:tab w:val="center" w:pos="4153"/>
        <w:tab w:val="right" w:pos="8306"/>
      </w:tabs>
      <w:snapToGrid w:val="0"/>
      <w:jc w:val="left"/>
      <w:rPr>
        <w:sz w:val="18"/>
        <w:szCs w:val="18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6" name="文本框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F46185E">
                          <w:pPr>
                            <w:pStyle w:val="7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LNJ&#10;WO7QAAAABQEAAA8AAAAAAAAAAQAgAAAAIgAAAGRycy9kb3ducmV2LnhtbFBLAQIUABQAAAAIAIdO&#10;4kB7dk1WKwIAAFcEAAAOAAAAAAAAAAEAIAAAAB8BAABkcnMvZTJvRG9jLnhtbFBLBQYAAAAABgAG&#10;AFkBAAC8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F46185E">
                    <w:pPr>
                      <w:pStyle w:val="7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D0BE03D"/>
    <w:multiLevelType w:val="singleLevel"/>
    <w:tmpl w:val="BD0BE03D"/>
    <w:lvl w:ilvl="0" w:tentative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abstractNum w:abstractNumId="1">
    <w:nsid w:val="ED54302F"/>
    <w:multiLevelType w:val="singleLevel"/>
    <w:tmpl w:val="ED54302F"/>
    <w:lvl w:ilvl="0" w:tentative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abstractNum w:abstractNumId="2">
    <w:nsid w:val="EE679A8C"/>
    <w:multiLevelType w:val="singleLevel"/>
    <w:tmpl w:val="EE679A8C"/>
    <w:lvl w:ilvl="0" w:tentative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abstractNum w:abstractNumId="3">
    <w:nsid w:val="013594C1"/>
    <w:multiLevelType w:val="singleLevel"/>
    <w:tmpl w:val="013594C1"/>
    <w:lvl w:ilvl="0" w:tentative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abstractNum w:abstractNumId="4">
    <w:nsid w:val="4152F74E"/>
    <w:multiLevelType w:val="singleLevel"/>
    <w:tmpl w:val="4152F74E"/>
    <w:lvl w:ilvl="0" w:tentative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abstractNum w:abstractNumId="5">
    <w:nsid w:val="4E47AB92"/>
    <w:multiLevelType w:val="singleLevel"/>
    <w:tmpl w:val="4E47AB92"/>
    <w:lvl w:ilvl="0" w:tentative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saveSubsetFonts/>
  <w:bordersDoNotSurroundHeader w:val="1"/>
  <w:bordersDoNotSurroundFooter w:val="1"/>
  <w:documentProtection w:enforcement="0"/>
  <w:defaultTabStop w:val="219"/>
  <w:drawingGridHorizontalSpacing w:val="105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A1N2EzNTc1NmUzYjBjNzM5MjI2ODI1N2ZiMjg1MjAifQ=="/>
  </w:docVars>
  <w:rsids>
    <w:rsidRoot w:val="1B9F7FA2"/>
    <w:rsid w:val="00007AF9"/>
    <w:rsid w:val="000101A3"/>
    <w:rsid w:val="000324F5"/>
    <w:rsid w:val="00052CFD"/>
    <w:rsid w:val="00064411"/>
    <w:rsid w:val="00077349"/>
    <w:rsid w:val="000E0F89"/>
    <w:rsid w:val="000E1128"/>
    <w:rsid w:val="000F6348"/>
    <w:rsid w:val="00113B6C"/>
    <w:rsid w:val="00123AA9"/>
    <w:rsid w:val="00131209"/>
    <w:rsid w:val="00166D33"/>
    <w:rsid w:val="001714A5"/>
    <w:rsid w:val="001A5258"/>
    <w:rsid w:val="001A7157"/>
    <w:rsid w:val="001D7CAE"/>
    <w:rsid w:val="001E1DD1"/>
    <w:rsid w:val="001E6518"/>
    <w:rsid w:val="001F38A8"/>
    <w:rsid w:val="00204D96"/>
    <w:rsid w:val="00222534"/>
    <w:rsid w:val="002576EA"/>
    <w:rsid w:val="00266122"/>
    <w:rsid w:val="002740AE"/>
    <w:rsid w:val="00280408"/>
    <w:rsid w:val="0028074D"/>
    <w:rsid w:val="00284FE8"/>
    <w:rsid w:val="002A6444"/>
    <w:rsid w:val="002A6696"/>
    <w:rsid w:val="002E2033"/>
    <w:rsid w:val="00337EC4"/>
    <w:rsid w:val="00361D52"/>
    <w:rsid w:val="003C2AE8"/>
    <w:rsid w:val="003C2BFF"/>
    <w:rsid w:val="0041362B"/>
    <w:rsid w:val="00435E80"/>
    <w:rsid w:val="00456AC5"/>
    <w:rsid w:val="00474349"/>
    <w:rsid w:val="0048204F"/>
    <w:rsid w:val="004974A6"/>
    <w:rsid w:val="00497BEE"/>
    <w:rsid w:val="00497D0F"/>
    <w:rsid w:val="004E74A4"/>
    <w:rsid w:val="0052532B"/>
    <w:rsid w:val="0053539D"/>
    <w:rsid w:val="005375F9"/>
    <w:rsid w:val="0056278A"/>
    <w:rsid w:val="00564642"/>
    <w:rsid w:val="00575D9C"/>
    <w:rsid w:val="005A0C92"/>
    <w:rsid w:val="005A489C"/>
    <w:rsid w:val="005A7788"/>
    <w:rsid w:val="005A7A6B"/>
    <w:rsid w:val="005C6D17"/>
    <w:rsid w:val="005C6E13"/>
    <w:rsid w:val="005D3904"/>
    <w:rsid w:val="005E1B8E"/>
    <w:rsid w:val="005E4069"/>
    <w:rsid w:val="006160E3"/>
    <w:rsid w:val="00616632"/>
    <w:rsid w:val="0063164B"/>
    <w:rsid w:val="00641D4A"/>
    <w:rsid w:val="006853FB"/>
    <w:rsid w:val="00687AF3"/>
    <w:rsid w:val="006A05FA"/>
    <w:rsid w:val="006A4FC1"/>
    <w:rsid w:val="006C51C7"/>
    <w:rsid w:val="006D481C"/>
    <w:rsid w:val="006F1623"/>
    <w:rsid w:val="00707F35"/>
    <w:rsid w:val="00725CED"/>
    <w:rsid w:val="00731635"/>
    <w:rsid w:val="00745375"/>
    <w:rsid w:val="007608B2"/>
    <w:rsid w:val="00762ADF"/>
    <w:rsid w:val="00766D03"/>
    <w:rsid w:val="007672C7"/>
    <w:rsid w:val="007B0120"/>
    <w:rsid w:val="007B0268"/>
    <w:rsid w:val="007B156B"/>
    <w:rsid w:val="007D3E1E"/>
    <w:rsid w:val="00800FCA"/>
    <w:rsid w:val="008251A5"/>
    <w:rsid w:val="00830EB4"/>
    <w:rsid w:val="00837FEC"/>
    <w:rsid w:val="00851A0D"/>
    <w:rsid w:val="0085208E"/>
    <w:rsid w:val="008863B2"/>
    <w:rsid w:val="00891F76"/>
    <w:rsid w:val="008A3D0F"/>
    <w:rsid w:val="008C1C61"/>
    <w:rsid w:val="008D0AE3"/>
    <w:rsid w:val="008E2D26"/>
    <w:rsid w:val="00925469"/>
    <w:rsid w:val="00942D24"/>
    <w:rsid w:val="009A1C50"/>
    <w:rsid w:val="009C02DF"/>
    <w:rsid w:val="009D257D"/>
    <w:rsid w:val="009D5EDA"/>
    <w:rsid w:val="00A04982"/>
    <w:rsid w:val="00A2274A"/>
    <w:rsid w:val="00A33569"/>
    <w:rsid w:val="00A77163"/>
    <w:rsid w:val="00AA0C49"/>
    <w:rsid w:val="00AB6766"/>
    <w:rsid w:val="00B0373C"/>
    <w:rsid w:val="00B109ED"/>
    <w:rsid w:val="00B12C42"/>
    <w:rsid w:val="00B52DDD"/>
    <w:rsid w:val="00B74F3D"/>
    <w:rsid w:val="00BB4834"/>
    <w:rsid w:val="00BC50CD"/>
    <w:rsid w:val="00BD1918"/>
    <w:rsid w:val="00BF1DC2"/>
    <w:rsid w:val="00C07DAA"/>
    <w:rsid w:val="00C157CC"/>
    <w:rsid w:val="00C63426"/>
    <w:rsid w:val="00C738A4"/>
    <w:rsid w:val="00C83642"/>
    <w:rsid w:val="00CA5932"/>
    <w:rsid w:val="00CB0BF0"/>
    <w:rsid w:val="00CB12B8"/>
    <w:rsid w:val="00CC584D"/>
    <w:rsid w:val="00CD4B61"/>
    <w:rsid w:val="00CF1CA2"/>
    <w:rsid w:val="00D03558"/>
    <w:rsid w:val="00D070B0"/>
    <w:rsid w:val="00D115C4"/>
    <w:rsid w:val="00D3787C"/>
    <w:rsid w:val="00D75E10"/>
    <w:rsid w:val="00DA75BE"/>
    <w:rsid w:val="00DB27D1"/>
    <w:rsid w:val="00DD1F24"/>
    <w:rsid w:val="00DD6764"/>
    <w:rsid w:val="00DE5C83"/>
    <w:rsid w:val="00E047E7"/>
    <w:rsid w:val="00E23533"/>
    <w:rsid w:val="00E51794"/>
    <w:rsid w:val="00E84A34"/>
    <w:rsid w:val="00E92B66"/>
    <w:rsid w:val="00E97877"/>
    <w:rsid w:val="00EC6938"/>
    <w:rsid w:val="00EE2416"/>
    <w:rsid w:val="00F23B20"/>
    <w:rsid w:val="00F32AB1"/>
    <w:rsid w:val="00F35D14"/>
    <w:rsid w:val="00F426EB"/>
    <w:rsid w:val="00F7257B"/>
    <w:rsid w:val="00F824BB"/>
    <w:rsid w:val="00FA2D62"/>
    <w:rsid w:val="00FB2387"/>
    <w:rsid w:val="00FB5B18"/>
    <w:rsid w:val="00FE2250"/>
    <w:rsid w:val="00FE412D"/>
    <w:rsid w:val="00FF202F"/>
    <w:rsid w:val="00FF2A39"/>
    <w:rsid w:val="00FF5699"/>
    <w:rsid w:val="01995B0E"/>
    <w:rsid w:val="01A152EF"/>
    <w:rsid w:val="021A430B"/>
    <w:rsid w:val="034E3E75"/>
    <w:rsid w:val="04223B99"/>
    <w:rsid w:val="049E6D64"/>
    <w:rsid w:val="04EE51E1"/>
    <w:rsid w:val="06BA7F39"/>
    <w:rsid w:val="06D25D4A"/>
    <w:rsid w:val="07792C31"/>
    <w:rsid w:val="080E65BB"/>
    <w:rsid w:val="08F10D5D"/>
    <w:rsid w:val="0A595DBA"/>
    <w:rsid w:val="0B9F3D21"/>
    <w:rsid w:val="0C6B5239"/>
    <w:rsid w:val="0CE21FEB"/>
    <w:rsid w:val="0CEF76F0"/>
    <w:rsid w:val="0F3020DD"/>
    <w:rsid w:val="0F8971C2"/>
    <w:rsid w:val="0FCC1F80"/>
    <w:rsid w:val="101D0380"/>
    <w:rsid w:val="106D4085"/>
    <w:rsid w:val="110E3C53"/>
    <w:rsid w:val="115630D4"/>
    <w:rsid w:val="1159361F"/>
    <w:rsid w:val="115D4733"/>
    <w:rsid w:val="1170203B"/>
    <w:rsid w:val="13724144"/>
    <w:rsid w:val="14F41582"/>
    <w:rsid w:val="15566BA7"/>
    <w:rsid w:val="156D2E30"/>
    <w:rsid w:val="1697764D"/>
    <w:rsid w:val="18090937"/>
    <w:rsid w:val="19515D85"/>
    <w:rsid w:val="198A0CA2"/>
    <w:rsid w:val="19D454DE"/>
    <w:rsid w:val="19E73463"/>
    <w:rsid w:val="1A0400FA"/>
    <w:rsid w:val="1A904AE5"/>
    <w:rsid w:val="1B740D26"/>
    <w:rsid w:val="1B9F7FA2"/>
    <w:rsid w:val="1BB26286"/>
    <w:rsid w:val="1D863B00"/>
    <w:rsid w:val="1E0A2EE3"/>
    <w:rsid w:val="1E952F81"/>
    <w:rsid w:val="1E9670FF"/>
    <w:rsid w:val="20CD02BF"/>
    <w:rsid w:val="21703535"/>
    <w:rsid w:val="21706C2F"/>
    <w:rsid w:val="21D018F5"/>
    <w:rsid w:val="22AA0DEA"/>
    <w:rsid w:val="22DA6D08"/>
    <w:rsid w:val="22F36D09"/>
    <w:rsid w:val="24CF3C3F"/>
    <w:rsid w:val="24DC7170"/>
    <w:rsid w:val="25EC00A6"/>
    <w:rsid w:val="27251964"/>
    <w:rsid w:val="27892BA5"/>
    <w:rsid w:val="280E5782"/>
    <w:rsid w:val="281E05DA"/>
    <w:rsid w:val="2890116A"/>
    <w:rsid w:val="28E441EA"/>
    <w:rsid w:val="29587BD4"/>
    <w:rsid w:val="2AAA1B21"/>
    <w:rsid w:val="2B091083"/>
    <w:rsid w:val="2D4D587B"/>
    <w:rsid w:val="2D7B5F44"/>
    <w:rsid w:val="2F61560E"/>
    <w:rsid w:val="2F766A4B"/>
    <w:rsid w:val="2FF267C4"/>
    <w:rsid w:val="32343AAE"/>
    <w:rsid w:val="330C5891"/>
    <w:rsid w:val="330F71A0"/>
    <w:rsid w:val="3324764B"/>
    <w:rsid w:val="33D24C23"/>
    <w:rsid w:val="342E203B"/>
    <w:rsid w:val="34683A7D"/>
    <w:rsid w:val="35911F07"/>
    <w:rsid w:val="362F3572"/>
    <w:rsid w:val="366D1A51"/>
    <w:rsid w:val="36723C5D"/>
    <w:rsid w:val="36FE7D60"/>
    <w:rsid w:val="371B42F4"/>
    <w:rsid w:val="3A1C460B"/>
    <w:rsid w:val="3A48719A"/>
    <w:rsid w:val="3A6B2FDE"/>
    <w:rsid w:val="3B675D5A"/>
    <w:rsid w:val="3BBE3D1E"/>
    <w:rsid w:val="3D2A35EE"/>
    <w:rsid w:val="3D8A7657"/>
    <w:rsid w:val="3DBF59D9"/>
    <w:rsid w:val="3EDC6A5F"/>
    <w:rsid w:val="413C7D3D"/>
    <w:rsid w:val="416A613D"/>
    <w:rsid w:val="42EC523D"/>
    <w:rsid w:val="437F6C16"/>
    <w:rsid w:val="43BC1124"/>
    <w:rsid w:val="44A65B45"/>
    <w:rsid w:val="453269EA"/>
    <w:rsid w:val="45EE3170"/>
    <w:rsid w:val="45F62CAE"/>
    <w:rsid w:val="469052F8"/>
    <w:rsid w:val="4692063B"/>
    <w:rsid w:val="479223B1"/>
    <w:rsid w:val="4800731A"/>
    <w:rsid w:val="482A6E0B"/>
    <w:rsid w:val="49D92320"/>
    <w:rsid w:val="49DA0AA2"/>
    <w:rsid w:val="4AE051E1"/>
    <w:rsid w:val="4AFF1B0B"/>
    <w:rsid w:val="4BA204F6"/>
    <w:rsid w:val="4E1233DB"/>
    <w:rsid w:val="4E1C5BD0"/>
    <w:rsid w:val="4EC5306C"/>
    <w:rsid w:val="4F664122"/>
    <w:rsid w:val="4F9C7EC6"/>
    <w:rsid w:val="4FEF31B4"/>
    <w:rsid w:val="5008162D"/>
    <w:rsid w:val="5075435F"/>
    <w:rsid w:val="508C2C61"/>
    <w:rsid w:val="511D473B"/>
    <w:rsid w:val="52466271"/>
    <w:rsid w:val="528C4D2C"/>
    <w:rsid w:val="533B26E2"/>
    <w:rsid w:val="5348128D"/>
    <w:rsid w:val="53982609"/>
    <w:rsid w:val="53EE5D20"/>
    <w:rsid w:val="541F2932"/>
    <w:rsid w:val="5574023C"/>
    <w:rsid w:val="56E322E1"/>
    <w:rsid w:val="57271C0D"/>
    <w:rsid w:val="57E97B52"/>
    <w:rsid w:val="58E34758"/>
    <w:rsid w:val="593432C8"/>
    <w:rsid w:val="5939399F"/>
    <w:rsid w:val="5A481411"/>
    <w:rsid w:val="5C5D1AF2"/>
    <w:rsid w:val="5CA702FB"/>
    <w:rsid w:val="5D366C6C"/>
    <w:rsid w:val="5D785DB4"/>
    <w:rsid w:val="5DAA1DAA"/>
    <w:rsid w:val="5E672FB3"/>
    <w:rsid w:val="5E675BC0"/>
    <w:rsid w:val="5EA64AA4"/>
    <w:rsid w:val="5FE20AA4"/>
    <w:rsid w:val="5FF05A6E"/>
    <w:rsid w:val="60776372"/>
    <w:rsid w:val="60C34DC5"/>
    <w:rsid w:val="615252A3"/>
    <w:rsid w:val="61F64D1E"/>
    <w:rsid w:val="6238389F"/>
    <w:rsid w:val="63C913AF"/>
    <w:rsid w:val="63ED29F1"/>
    <w:rsid w:val="63F83144"/>
    <w:rsid w:val="64CF1141"/>
    <w:rsid w:val="64EF67D0"/>
    <w:rsid w:val="653C3ED2"/>
    <w:rsid w:val="65721DCD"/>
    <w:rsid w:val="65D5373C"/>
    <w:rsid w:val="65FD13B7"/>
    <w:rsid w:val="66103D71"/>
    <w:rsid w:val="664C52BD"/>
    <w:rsid w:val="66DB48B2"/>
    <w:rsid w:val="680910B8"/>
    <w:rsid w:val="68671E63"/>
    <w:rsid w:val="695E4DE8"/>
    <w:rsid w:val="69886D18"/>
    <w:rsid w:val="69C016A8"/>
    <w:rsid w:val="69DF249A"/>
    <w:rsid w:val="6A863476"/>
    <w:rsid w:val="6B75396E"/>
    <w:rsid w:val="6BE8547E"/>
    <w:rsid w:val="6CA25582"/>
    <w:rsid w:val="6DE52539"/>
    <w:rsid w:val="70926DFA"/>
    <w:rsid w:val="728A58AF"/>
    <w:rsid w:val="734142A1"/>
    <w:rsid w:val="74582108"/>
    <w:rsid w:val="74725553"/>
    <w:rsid w:val="749E259E"/>
    <w:rsid w:val="754B27D9"/>
    <w:rsid w:val="760818AC"/>
    <w:rsid w:val="765C7B6B"/>
    <w:rsid w:val="77AE0291"/>
    <w:rsid w:val="7860158C"/>
    <w:rsid w:val="7863107C"/>
    <w:rsid w:val="7909669D"/>
    <w:rsid w:val="7A543140"/>
    <w:rsid w:val="7A8D3EAA"/>
    <w:rsid w:val="7AA747DB"/>
    <w:rsid w:val="7BD657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semiHidden="0" w:name="heading 2"/>
    <w:lsdException w:qFormat="1" w:uiPriority="99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iPriority="39" w:semiHidden="0" w:name="toc 1"/>
    <w:lsdException w:qFormat="1" w:uiPriority="39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iPriority="0" w:semiHidden="0" w:name="annotation text"/>
    <w:lsdException w:qFormat="1" w:unhideWhenUsed="0" w:uiPriority="0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iPriority="99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iPriority="99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39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等线" w:hAnsi="等线" w:eastAsia="等线" w:cs="Times New Roman"/>
      <w:kern w:val="2"/>
      <w:sz w:val="21"/>
      <w:szCs w:val="21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9"/>
    <w:pPr>
      <w:keepNext/>
      <w:keepLines/>
      <w:widowControl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3">
    <w:name w:val="heading 3"/>
    <w:basedOn w:val="1"/>
    <w:next w:val="1"/>
    <w:link w:val="32"/>
    <w:unhideWhenUsed/>
    <w:qFormat/>
    <w:uiPriority w:val="99"/>
    <w:pPr>
      <w:widowControl/>
      <w:autoSpaceDE w:val="0"/>
      <w:autoSpaceDN w:val="0"/>
      <w:spacing w:before="50" w:beforeLines="50" w:after="50" w:afterLines="50" w:line="360" w:lineRule="auto"/>
      <w:ind w:left="120"/>
      <w:outlineLvl w:val="2"/>
    </w:pPr>
    <w:rPr>
      <w:rFonts w:ascii="楷体" w:hAnsi="楷体" w:eastAsia="楷体" w:cs="楷体"/>
      <w:b/>
      <w:bCs/>
      <w:kern w:val="0"/>
      <w:sz w:val="32"/>
      <w:szCs w:val="32"/>
      <w:lang w:eastAsia="en-US"/>
    </w:rPr>
  </w:style>
  <w:style w:type="character" w:default="1" w:styleId="15">
    <w:name w:val="Default Paragraph Font"/>
    <w:semiHidden/>
    <w:unhideWhenUsed/>
    <w:qFormat/>
    <w:uiPriority w:val="1"/>
  </w:style>
  <w:style w:type="table" w:default="1" w:styleId="1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annotation text"/>
    <w:basedOn w:val="1"/>
    <w:link w:val="21"/>
    <w:unhideWhenUsed/>
    <w:qFormat/>
    <w:uiPriority w:val="0"/>
    <w:pPr>
      <w:jc w:val="left"/>
    </w:pPr>
  </w:style>
  <w:style w:type="paragraph" w:styleId="5">
    <w:name w:val="Body Text"/>
    <w:basedOn w:val="1"/>
    <w:link w:val="24"/>
    <w:qFormat/>
    <w:uiPriority w:val="0"/>
    <w:pPr>
      <w:spacing w:after="120"/>
    </w:pPr>
  </w:style>
  <w:style w:type="paragraph" w:styleId="6">
    <w:name w:val="Balloon Text"/>
    <w:basedOn w:val="1"/>
    <w:link w:val="20"/>
    <w:qFormat/>
    <w:uiPriority w:val="0"/>
    <w:rPr>
      <w:sz w:val="18"/>
      <w:szCs w:val="18"/>
    </w:rPr>
  </w:style>
  <w:style w:type="paragraph" w:styleId="7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link w:val="23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toc 1"/>
    <w:basedOn w:val="1"/>
    <w:next w:val="1"/>
    <w:unhideWhenUsed/>
    <w:qFormat/>
    <w:uiPriority w:val="39"/>
    <w:pPr>
      <w:spacing w:before="120" w:after="120"/>
      <w:jc w:val="left"/>
    </w:pPr>
    <w:rPr>
      <w:rFonts w:asciiTheme="minorHAnsi" w:eastAsiaTheme="minorHAnsi"/>
      <w:b/>
      <w:bCs/>
      <w:caps/>
      <w:sz w:val="20"/>
      <w:szCs w:val="20"/>
    </w:rPr>
  </w:style>
  <w:style w:type="paragraph" w:styleId="10">
    <w:name w:val="toc 2"/>
    <w:basedOn w:val="1"/>
    <w:next w:val="1"/>
    <w:unhideWhenUsed/>
    <w:qFormat/>
    <w:uiPriority w:val="39"/>
    <w:pPr>
      <w:ind w:left="210"/>
      <w:jc w:val="left"/>
    </w:pPr>
    <w:rPr>
      <w:rFonts w:asciiTheme="minorHAnsi" w:eastAsiaTheme="minorHAnsi"/>
      <w:smallCaps/>
      <w:sz w:val="20"/>
      <w:szCs w:val="20"/>
    </w:rPr>
  </w:style>
  <w:style w:type="paragraph" w:styleId="11">
    <w:name w:val="annotation subject"/>
    <w:basedOn w:val="4"/>
    <w:next w:val="4"/>
    <w:link w:val="22"/>
    <w:qFormat/>
    <w:uiPriority w:val="0"/>
    <w:rPr>
      <w:b/>
      <w:bCs/>
    </w:rPr>
  </w:style>
  <w:style w:type="paragraph" w:styleId="12">
    <w:name w:val="Body Text First Indent"/>
    <w:basedOn w:val="5"/>
    <w:link w:val="26"/>
    <w:unhideWhenUsed/>
    <w:qFormat/>
    <w:uiPriority w:val="99"/>
    <w:pPr>
      <w:widowControl/>
      <w:spacing w:before="50" w:beforeLines="50" w:afterLines="50" w:line="360" w:lineRule="auto"/>
      <w:ind w:firstLine="420" w:firstLineChars="100"/>
    </w:pPr>
    <w:rPr>
      <w:rFonts w:ascii="仿宋" w:hAnsi="仿宋" w:eastAsia="仿宋" w:cs="仿宋"/>
      <w:sz w:val="32"/>
      <w:szCs w:val="32"/>
    </w:rPr>
  </w:style>
  <w:style w:type="table" w:styleId="14">
    <w:name w:val="Table Grid"/>
    <w:basedOn w:val="13"/>
    <w:qFormat/>
    <w:uiPriority w:val="39"/>
    <w:pPr>
      <w:widowControl w:val="0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6">
    <w:name w:val="Hyperlink"/>
    <w:basedOn w:val="15"/>
    <w:unhideWhenUsed/>
    <w:qFormat/>
    <w:uiPriority w:val="99"/>
    <w:rPr>
      <w:color w:val="0026E5" w:themeColor="hyperlink"/>
      <w:u w:val="single"/>
      <w14:textFill>
        <w14:solidFill>
          <w14:schemeClr w14:val="hlink"/>
        </w14:solidFill>
      </w14:textFill>
    </w:rPr>
  </w:style>
  <w:style w:type="character" w:styleId="17">
    <w:name w:val="annotation reference"/>
    <w:basedOn w:val="15"/>
    <w:unhideWhenUsed/>
    <w:qFormat/>
    <w:uiPriority w:val="99"/>
    <w:rPr>
      <w:sz w:val="21"/>
      <w:szCs w:val="21"/>
    </w:rPr>
  </w:style>
  <w:style w:type="paragraph" w:styleId="18">
    <w:name w:val="List Paragraph"/>
    <w:basedOn w:val="1"/>
    <w:qFormat/>
    <w:uiPriority w:val="1"/>
    <w:pPr>
      <w:ind w:firstLine="420" w:firstLineChars="200"/>
    </w:pPr>
  </w:style>
  <w:style w:type="table" w:customStyle="1" w:styleId="19">
    <w:name w:val="网格型4"/>
    <w:basedOn w:val="13"/>
    <w:qFormat/>
    <w:uiPriority w:val="39"/>
    <w:pPr>
      <w:widowControl w:val="0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20">
    <w:name w:val="批注框文本 字符"/>
    <w:basedOn w:val="15"/>
    <w:link w:val="6"/>
    <w:qFormat/>
    <w:uiPriority w:val="0"/>
    <w:rPr>
      <w:rFonts w:ascii="等线" w:hAnsi="等线" w:eastAsia="等线"/>
      <w:kern w:val="2"/>
      <w:sz w:val="18"/>
      <w:szCs w:val="18"/>
    </w:rPr>
  </w:style>
  <w:style w:type="character" w:customStyle="1" w:styleId="21">
    <w:name w:val="批注文字 字符"/>
    <w:basedOn w:val="15"/>
    <w:link w:val="4"/>
    <w:qFormat/>
    <w:uiPriority w:val="0"/>
    <w:rPr>
      <w:rFonts w:ascii="等线" w:hAnsi="等线" w:eastAsia="等线"/>
      <w:kern w:val="2"/>
      <w:sz w:val="21"/>
      <w:szCs w:val="21"/>
    </w:rPr>
  </w:style>
  <w:style w:type="character" w:customStyle="1" w:styleId="22">
    <w:name w:val="批注主题 字符"/>
    <w:basedOn w:val="21"/>
    <w:link w:val="11"/>
    <w:qFormat/>
    <w:uiPriority w:val="0"/>
    <w:rPr>
      <w:rFonts w:ascii="等线" w:hAnsi="等线" w:eastAsia="等线"/>
      <w:b/>
      <w:bCs/>
      <w:kern w:val="2"/>
      <w:sz w:val="21"/>
      <w:szCs w:val="21"/>
    </w:rPr>
  </w:style>
  <w:style w:type="character" w:customStyle="1" w:styleId="23">
    <w:name w:val="页眉 字符"/>
    <w:basedOn w:val="15"/>
    <w:link w:val="8"/>
    <w:qFormat/>
    <w:uiPriority w:val="0"/>
    <w:rPr>
      <w:rFonts w:ascii="等线" w:hAnsi="等线" w:eastAsia="等线"/>
      <w:kern w:val="2"/>
      <w:sz w:val="18"/>
      <w:szCs w:val="18"/>
    </w:rPr>
  </w:style>
  <w:style w:type="character" w:customStyle="1" w:styleId="24">
    <w:name w:val="正文文本 字符"/>
    <w:basedOn w:val="15"/>
    <w:link w:val="5"/>
    <w:qFormat/>
    <w:uiPriority w:val="0"/>
    <w:rPr>
      <w:rFonts w:ascii="等线" w:hAnsi="等线" w:eastAsia="等线"/>
      <w:kern w:val="2"/>
      <w:sz w:val="21"/>
      <w:szCs w:val="21"/>
    </w:rPr>
  </w:style>
  <w:style w:type="character" w:customStyle="1" w:styleId="25">
    <w:name w:val="正文文本首行缩进 字符"/>
    <w:basedOn w:val="24"/>
    <w:qFormat/>
    <w:uiPriority w:val="0"/>
    <w:rPr>
      <w:rFonts w:ascii="等线" w:hAnsi="等线" w:eastAsia="等线"/>
      <w:kern w:val="2"/>
      <w:sz w:val="21"/>
      <w:szCs w:val="21"/>
    </w:rPr>
  </w:style>
  <w:style w:type="character" w:customStyle="1" w:styleId="26">
    <w:name w:val="正文首行缩进 字符"/>
    <w:basedOn w:val="24"/>
    <w:link w:val="12"/>
    <w:qFormat/>
    <w:uiPriority w:val="99"/>
    <w:rPr>
      <w:rFonts w:ascii="仿宋" w:hAnsi="仿宋" w:eastAsia="仿宋" w:cs="仿宋"/>
      <w:kern w:val="2"/>
      <w:sz w:val="32"/>
      <w:szCs w:val="32"/>
    </w:rPr>
  </w:style>
  <w:style w:type="paragraph" w:customStyle="1" w:styleId="27">
    <w:name w:val="修订1"/>
    <w:hidden/>
    <w:semiHidden/>
    <w:qFormat/>
    <w:uiPriority w:val="99"/>
    <w:rPr>
      <w:rFonts w:ascii="等线" w:hAnsi="等线" w:eastAsia="等线" w:cs="Times New Roman"/>
      <w:kern w:val="2"/>
      <w:sz w:val="21"/>
      <w:szCs w:val="21"/>
      <w:lang w:val="en-US" w:eastAsia="zh-CN" w:bidi="ar-SA"/>
    </w:rPr>
  </w:style>
  <w:style w:type="character" w:customStyle="1" w:styleId="28">
    <w:name w:val="font112"/>
    <w:basedOn w:val="15"/>
    <w:qFormat/>
    <w:uiPriority w:val="0"/>
    <w:rPr>
      <w:rFonts w:hint="default" w:ascii="Times New Roman" w:hAnsi="Times New Roman" w:cs="Times New Roman"/>
      <w:color w:val="000000"/>
      <w:sz w:val="20"/>
      <w:szCs w:val="20"/>
      <w:u w:val="none"/>
    </w:rPr>
  </w:style>
  <w:style w:type="character" w:customStyle="1" w:styleId="29">
    <w:name w:val="font81"/>
    <w:basedOn w:val="15"/>
    <w:qFormat/>
    <w:uiPriority w:val="0"/>
    <w:rPr>
      <w:rFonts w:hint="eastAsia" w:ascii="仿宋" w:hAnsi="仿宋" w:eastAsia="仿宋" w:cs="仿宋"/>
      <w:color w:val="000000"/>
      <w:sz w:val="20"/>
      <w:szCs w:val="20"/>
      <w:u w:val="none"/>
    </w:rPr>
  </w:style>
  <w:style w:type="paragraph" w:customStyle="1" w:styleId="30">
    <w:name w:val="Table Text"/>
    <w:basedOn w:val="1"/>
    <w:semiHidden/>
    <w:qFormat/>
    <w:uiPriority w:val="0"/>
    <w:rPr>
      <w:rFonts w:ascii="仿宋" w:hAnsi="仿宋" w:eastAsia="仿宋" w:cs="仿宋"/>
      <w:sz w:val="19"/>
      <w:szCs w:val="19"/>
      <w:lang w:eastAsia="en-US"/>
    </w:rPr>
  </w:style>
  <w:style w:type="table" w:customStyle="1" w:styleId="31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2">
    <w:name w:val="标题 3 字符"/>
    <w:basedOn w:val="15"/>
    <w:link w:val="3"/>
    <w:qFormat/>
    <w:uiPriority w:val="99"/>
    <w:rPr>
      <w:rFonts w:ascii="楷体" w:hAnsi="楷体" w:eastAsia="楷体" w:cs="楷体"/>
      <w:b/>
      <w:bCs/>
      <w:sz w:val="32"/>
      <w:szCs w:val="32"/>
      <w:lang w:eastAsia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6.xml"/><Relationship Id="rId7" Type="http://schemas.openxmlformats.org/officeDocument/2006/relationships/footer" Target="footer5.xml"/><Relationship Id="rId6" Type="http://schemas.openxmlformats.org/officeDocument/2006/relationships/footer" Target="footer4.xml"/><Relationship Id="rId5" Type="http://schemas.openxmlformats.org/officeDocument/2006/relationships/footer" Target="footer3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5" Type="http://schemas.openxmlformats.org/officeDocument/2006/relationships/fontTable" Target="fontTable.xml"/><Relationship Id="rId24" Type="http://schemas.openxmlformats.org/officeDocument/2006/relationships/customXml" Target="../customXml/item2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2.jpeg"/><Relationship Id="rId20" Type="http://schemas.openxmlformats.org/officeDocument/2006/relationships/image" Target="media/image11.jpeg"/><Relationship Id="rId2" Type="http://schemas.openxmlformats.org/officeDocument/2006/relationships/settings" Target="settings.xml"/><Relationship Id="rId19" Type="http://schemas.openxmlformats.org/officeDocument/2006/relationships/image" Target="media/image10.jpeg"/><Relationship Id="rId18" Type="http://schemas.openxmlformats.org/officeDocument/2006/relationships/image" Target="media/image9.jpeg"/><Relationship Id="rId17" Type="http://schemas.openxmlformats.org/officeDocument/2006/relationships/image" Target="media/image8.jpeg"/><Relationship Id="rId16" Type="http://schemas.openxmlformats.org/officeDocument/2006/relationships/image" Target="media/image7.jpeg"/><Relationship Id="rId15" Type="http://schemas.openxmlformats.org/officeDocument/2006/relationships/image" Target="media/image6.jpeg"/><Relationship Id="rId14" Type="http://schemas.openxmlformats.org/officeDocument/2006/relationships/image" Target="media/image5.jpeg"/><Relationship Id="rId13" Type="http://schemas.openxmlformats.org/officeDocument/2006/relationships/image" Target="media/image4.jpeg"/><Relationship Id="rId12" Type="http://schemas.openxmlformats.org/officeDocument/2006/relationships/image" Target="media/image3.jpeg"/><Relationship Id="rId11" Type="http://schemas.openxmlformats.org/officeDocument/2006/relationships/image" Target="media/image2.jpeg"/><Relationship Id="rId10" Type="http://schemas.openxmlformats.org/officeDocument/2006/relationships/image" Target="media/image1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2.xml><?xml version="1.0" encoding="utf-8"?>
<contractReview xmlns="http://schemas.wps.cn/vas-ai-hub/contract-review">
  <reviewItems>
    <reviewItem>
      <errorID>4d760430-716b-4f9d-a163-67c26e6a9ee8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69803518</paraID>
      <start>5</start>
      <end>6</end>
      <status>ignored</status>
      <modifiedWord/>
      <trackRevisions>false</trackRevisions>
    </reviewItem>
    <reviewItem>
      <errorID>330b5497-5b2c-4df4-babb-cab60d57e0b3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25C53DA9</paraID>
      <start>92</start>
      <end>93</end>
      <status>ignored</status>
      <modifiedWord/>
      <trackRevisions>false</trackRevisions>
    </reviewItem>
    <reviewItem>
      <errorID>1431f8ba-127e-45f2-965c-49b7a57dbb26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5C11F2BF</paraID>
      <start>11</start>
      <end>12</end>
      <status>ignored</status>
      <modifiedWord/>
      <trackRevisions>false</trackRevisions>
    </reviewItem>
    <reviewItem>
      <errorID>3b9b4700-0d40-47c4-89be-e0398fe3ccbd</errorID>
      <errorWord>中共中央国务院</errorWord>
      <group>L1_Political</group>
      <groupName>政治性问题</groupName>
      <ability>L2_Keyword</ability>
      <abilityName>固定表述</abilityName>
      <candidateList>
        <item>中共中央、国务院</item>
      </candidateList>
      <explain>注意检查当前固定表述标点是否使用规范。</explain>
      <paraID>3963899D</paraID>
      <start>3</start>
      <end>10</end>
      <status>ignored</status>
      <modifiedWord/>
      <trackRevisions>false</trackRevisions>
    </reviewItem>
    <reviewItem>
      <errorID>41fc4afb-0f66-48ba-b716-88bbc62e8cc8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4D06D22C</paraID>
      <start>20</start>
      <end>21</end>
      <status>ignored</status>
      <modifiedWord/>
      <trackRevisions>false</trackRevisions>
    </reviewItem>
    <reviewItem>
      <errorID>f1813224-8e3a-4562-9a55-32f453406743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19B9B528</paraID>
      <start>20</start>
      <end>21</end>
      <status>ignored</status>
      <modifiedWord/>
      <trackRevisions>false</trackRevisions>
    </reviewItem>
    <reviewItem>
      <errorID>0d13130c-5e35-4ec9-af66-b2cccb195273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3CF8A879</paraID>
      <start>23</start>
      <end>24</end>
      <status>ignored</status>
      <modifiedWord/>
      <trackRevisions>false</trackRevisions>
    </reviewItem>
    <reviewItem>
      <errorID>05e8c685-a003-440c-9194-994a527db273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1875F441</paraID>
      <start>24</start>
      <end>25</end>
      <status>ignored</status>
      <modifiedWord/>
      <trackRevisions>false</trackRevisions>
    </reviewItem>
    <reviewItem>
      <errorID>c840c816-2ead-4bce-bdbd-b9e741ba51b3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6CB6DC0C</paraID>
      <start>32</start>
      <end>33</end>
      <status>ignored</status>
      <modifiedWord/>
      <trackRevisions>false</trackRevisions>
    </reviewItem>
    <reviewItem>
      <errorID>1c085297-c8d3-4093-9b75-2faef44bc52c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6D28D93F</paraID>
      <start>14</start>
      <end>15</end>
      <status>ignored</status>
      <modifiedWord/>
      <trackRevisions>false</trackRevisions>
    </reviewItem>
    <reviewItem>
      <errorID>164f332b-3cf9-4b20-8be9-a5ac8cadf718</errorID>
      <errorWord>颗</errorWord>
      <group>L1_Knowledge</group>
      <groupName>知识性问题</groupName>
      <ability>L2_Knowledge</ability>
      <abilityName>其他知识</abilityName>
      <candidateList>
        <item>亩</item>
      </candidateList>
      <explain/>
      <paraID>4E991C43</paraID>
      <start>161</start>
      <end>162</end>
      <status>ignored</status>
      <modifiedWord/>
      <trackRevisions>false</trackRevisions>
    </reviewItem>
    <reviewItem>
      <errorID>b89cacd1-cbb3-49cd-a0ba-5973d17449ec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21215018</paraID>
      <start>61</start>
      <end>62</end>
      <status>ignored</status>
      <modifiedWord/>
      <trackRevisions>false</trackRevisions>
    </reviewItem>
    <reviewItem>
      <errorID>c59a74d9-26ee-42b6-8db5-034e3d009bfe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21215018</paraID>
      <start>73</start>
      <end>74</end>
      <status>ignored</status>
      <modifiedWord/>
      <trackRevisions>false</trackRevisions>
    </reviewItem>
    <reviewItem>
      <errorID>e0468c7f-a3cc-4da2-8dd8-8c7fffc8291b</errorID>
      <errorWord>已经</errorWord>
      <group>L1_Word</group>
      <groupName>字词问题</groupName>
      <ability>L2_Typo</ability>
      <abilityName>字词错误</abilityName>
      <candidateList>
        <item>已</item>
      </candidateList>
      <explain>❶停止：争论不～｜有加无～。❷〈副〉已经（跟“未”相对）：时间～过｜此事～设法解决。❸〈书〉副后来；过了一会儿：～而｜～忽不见。❹〈书〉副太；过：不为～甚。❺（Yǐ）〈名〉姓。</explain>
      <paraID>7E595B2B</paraID>
      <start>107</start>
      <end>108</end>
      <status>modified</status>
      <modifiedWord>已</modifiedWord>
      <trackRevisions>false</trackRevisions>
    </reviewItem>
    <reviewItem>
      <errorID>e2339afb-5904-48fe-81e8-3d375f09ce36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6D8F1E86</paraID>
      <start>19</start>
      <end>20</end>
      <status>ignored</status>
      <modifiedWord/>
      <trackRevisions>false</trackRevisions>
    </reviewItem>
    <reviewItem>
      <errorID>d14145a0-bcc1-408b-a00d-2d233936756e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54DF857C</paraID>
      <start>22</start>
      <end>23</end>
      <status>ignored</status>
      <modifiedWord/>
      <trackRevisions>false</trackRevisions>
    </reviewItem>
    <reviewItem>
      <errorID>1b708e50-0c95-4737-94e0-3383ff78e41c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1B3CAFFE</paraID>
      <start>23</start>
      <end>24</end>
      <status>ignored</status>
      <modifiedWord/>
      <trackRevisions>false</trackRevisions>
    </reviewItem>
    <reviewItem>
      <errorID>27de187a-a422-424e-8558-9fa74d61a4e7</errorID>
      <errorWord>-</errorWord>
      <group>L1_Format</group>
      <groupName>格式问题</groupName>
      <ability>L2_HalfPunc</ability>
      <abilityName>全半角检查</abilityName>
      <candidateList>
        <item>－</item>
      </candidateList>
      <explain>文本全半角错误。</explain>
      <paraID> 132FEC9</paraID>
      <start>109</start>
      <end>110</end>
      <status>modified</status>
      <modifiedWord>－</modifiedWord>
      <trackRevisions>false</trackRevisions>
    </reviewItem>
    <reviewItem>
      <errorID>c9549061-be3c-40ef-8226-55dff60b983f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799A55EA</paraID>
      <start>31</start>
      <end>32</end>
      <status>ignored</status>
      <modifiedWord/>
      <trackRevisions>false</trackRevisions>
    </reviewItem>
    <reviewItem>
      <errorID>099276e5-ffd6-4ccc-896e-238bf084c007</errorID>
      <errorWord>生物多样性维护</errorWord>
      <group>L1_Political</group>
      <groupName>政治性问题</groupName>
      <ability>L2_Keyword</ability>
      <abilityName>固定表述</abilityName>
      <candidateList>
        <item>生物多样性保护</item>
      </candidateList>
      <explain>词汇“生物多样性保护”在特定场景下为固定表述形式，请确认此处的“生物多样性维护”是否存在不当。</explain>
      <paraID>6806AB8A</paraID>
      <start>65</start>
      <end>72</end>
      <status>modified</status>
      <modifiedWord>生物多样性保护</modifiedWord>
      <trackRevisions>false</trackRevisions>
    </reviewItem>
    <reviewItem>
      <errorID>8d3a054a-0847-44c0-9495-542b3d895d60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4C4C1B2E</paraID>
      <start>22</start>
      <end>23</end>
      <status>ignored</status>
      <modifiedWord/>
      <trackRevisions>false</trackRevisions>
    </reviewItem>
    <reviewItem>
      <errorID>4a48e8f6-e438-4be0-85fe-5c5651df1c6b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5BA55A8B</paraID>
      <start>27</start>
      <end>28</end>
      <status>ignored</status>
      <modifiedWord/>
      <trackRevisions>false</trackRevisions>
    </reviewItem>
    <reviewItem>
      <errorID>3349bcfa-9069-40dd-bcbb-88ec7fe6061f</errorID>
      <errorWord>建</errorWord>
      <group>L1_Word</group>
      <groupName>字词问题</groupName>
      <ability>L2_Typo</ability>
      <abilityName>字词错误</abilityName>
      <candidateList>
        <item>建设</item>
      </candidateList>
      <explain>〈动〉创立新事业；增加新设施：经济～｜～家园｜～现代化强国◇组织～｜思想～。</explain>
      <paraID>10F2143B</paraID>
      <start>52</start>
      <end>53</end>
      <status>ignored</status>
      <modifiedWord/>
      <trackRevisions>false</trackRevisions>
    </reviewItem>
    <reviewItem>
      <errorID>2f04bb43-62a2-45eb-997f-d91b0e513f35</errorID>
      <errorWord>35-110千</errorWord>
      <group>L1_Knowledge</group>
      <groupName>知识性问题</groupName>
      <ability>L2_Knowledge</ability>
      <abilityName>其他知识</abilityName>
      <candidateList>
        <item>35千—110千</item>
      </candidateList>
      <explain>1. “35-110千”中的单位“千”仅出现在后一个数字上，容易引起歧义；根据《现代汉语标点符号数字用法规范手册》，数字表示范围两边需要使用统一的格式。2. 根据标点国标 4.13 中的规则，数字、时间或地域连接符应使用（视觉上更长的）“—”或“～”。</explain>
      <paraID>21D520B5</paraID>
      <start>9</start>
      <end>16</end>
      <status>ignored</status>
      <modifiedWord/>
      <trackRevisions>false</trackRevisions>
    </reviewItem>
    <reviewItem>
      <errorID>8e3d2135-1f4a-4f13-9106-26cda5b33a12</errorID>
      <errorWord>西藏自治区实施&lt;中华人民共和国森林法&gt;办法</errorWord>
      <group>L1_Knowledge</group>
      <groupName>知识性问题</groupName>
      <ability>L2_Knowledge</ability>
      <abilityName>其他知识</abilityName>
      <candidateList>
        <item>西藏自治区实施〈中华人民共和国森林法〉办法</item>
      </candidateList>
      <explain>当前法律法规未收录或尚未生效，注意核查是否正确。</explain>
      <paraID>48DCA0D1</paraID>
      <start>10</start>
      <end>31</end>
      <status>modified</status>
      <modifiedWord>西藏自治区实施〈中华人民共和国森林法〉办法</modifiedWord>
      <trackRevisions>false</trackRevisions>
    </reviewItem>
    <reviewItem>
      <errorID>43679ee0-609d-40de-9344-c0421b10d96d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2E956A2B</paraID>
      <start>13</start>
      <end>14</end>
      <status>ignored</status>
      <modifiedWord/>
      <trackRevisions>false</trackRevisions>
    </reviewItem>
    <reviewItem>
      <errorID>15d874f6-920e-4466-a3c3-3fb7c3090838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2E956A2B</paraID>
      <start>97</start>
      <end>98</end>
      <status>ignored</status>
      <modifiedWord/>
      <trackRevisions>false</trackRevisions>
    </reviewItem>
    <reviewItem>
      <errorID>22952787-c920-4134-8c34-3189c5d469d6</errorID>
      <errorWord>；</errorWord>
      <group>L1_Word</group>
      <groupName>字词问题</groupName>
      <ability>L2_Typo</ability>
      <abilityName>字词错误</abilityName>
      <candidateList>
        <item>；要</item>
      </candidateList>
      <explain/>
      <paraID>5ABB4B96</paraID>
      <start>103</start>
      <end>105</end>
      <status>modified</status>
      <modifiedWord>；要</modifiedWord>
      <trackRevisions>false</trackRevisions>
    </reviewItem>
    <reviewItem>
      <errorID>f9a8adf1-30f8-400a-9fb8-eaa5dbaa0e5b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40F70E9D</paraID>
      <start>5</start>
      <end>6</end>
      <status>ignored</status>
      <modifiedWord/>
      <trackRevisions>false</trackRevisions>
    </reviewItem>
  </reviewItems>
  <config/>
</contractReview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D330D66-0432-4377-88FA-A98FC4E32C7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DoubleOX</Company>
  <Pages>24</Pages>
  <Words>3687</Words>
  <Characters>4216</Characters>
  <Lines>5</Lines>
  <Paragraphs>1</Paragraphs>
  <TotalTime>1</TotalTime>
  <ScaleCrop>false</ScaleCrop>
  <LinksUpToDate>false</LinksUpToDate>
  <CharactersWithSpaces>4216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2024-12-22T03:47:00Z</dcterms:created>
  <dc:creator>Administrator</dc:creator>
  <cp:lastModifiedBy>WPS_1652166430</cp:lastModifiedBy>
  <cp:lastPrinted>2026-03-03T02:21:00Z</cp:lastPrinted>
  <dcterms:modified xsi:type="dcterms:W3CDTF">2026-03-13T07:32:33Z</dcterms:modified>
  <cp:revision>42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87090B3EAC0140B1AED69ADDE95A003D_13</vt:lpwstr>
  </property>
  <property fmtid="{D5CDD505-2E9C-101B-9397-08002B2CF9AE}" pid="4" name="KSOTemplateDocerSaveRecord">
    <vt:lpwstr>eyJoZGlkIjoiODQ1NzZkNTY1NGMyZWJhNzJiNTYxOWE3OGVlNTk1MGEiLCJ1c2VySWQiOiIxMzY3NDU4MTU4In0=</vt:lpwstr>
  </property>
</Properties>
</file>