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黑体" w:hAnsi="黑体" w:eastAsia="黑体" w:cs="宋体"/>
          <w:b/>
          <w:bCs/>
          <w:color w:val="333333"/>
          <w:kern w:val="0"/>
          <w:sz w:val="52"/>
          <w:szCs w:val="52"/>
        </w:rPr>
        <w:t>农技推广站（部门）</w:t>
      </w:r>
      <w:r>
        <w:rPr>
          <w:rFonts w:hint="eastAsia" w:ascii="黑体" w:hAnsi="黑体" w:eastAsia="黑体" w:cs="宋体"/>
          <w:b/>
          <w:bCs/>
          <w:color w:val="333333"/>
          <w:kern w:val="0"/>
          <w:sz w:val="52"/>
          <w:szCs w:val="52"/>
          <w:lang w:eastAsia="zh-CN"/>
        </w:rPr>
        <w:t>2019</w:t>
      </w:r>
      <w:r>
        <w:rPr>
          <w:rFonts w:hint="eastAsia" w:ascii="黑体" w:hAnsi="黑体" w:eastAsia="黑体" w:cs="宋体"/>
          <w:b/>
          <w:bCs/>
          <w:color w:val="333333"/>
          <w:kern w:val="0"/>
          <w:sz w:val="52"/>
          <w:szCs w:val="52"/>
        </w:rPr>
        <w:t>年度部门决算</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ascii="Times New Roman" w:hAnsi="Times New Roman" w:eastAsia="宋体" w:cs="Times New Roman"/>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u w:val="single"/>
          <w:lang w:eastAsia="zh-CN"/>
        </w:rPr>
        <w:t>2019</w:t>
      </w: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rPr>
        <w:t>年</w:t>
      </w: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u w:val="single"/>
        </w:rPr>
        <w:t>8</w:t>
      </w:r>
      <w:r>
        <w:rPr>
          <w:rFonts w:hint="eastAsia" w:ascii="MS Mincho" w:hAnsi="MS Mincho" w:eastAsia="MS Mincho" w:cs="MS Mincho"/>
          <w:color w:val="333333"/>
          <w:kern w:val="0"/>
          <w:sz w:val="32"/>
          <w:szCs w:val="32"/>
          <w:u w:val="single"/>
        </w:rPr>
        <w:t> </w:t>
      </w:r>
      <w:r>
        <w:rPr>
          <w:rFonts w:hint="eastAsia" w:ascii="宋体" w:hAnsi="宋体" w:eastAsia="宋体" w:cs="宋体"/>
          <w:color w:val="333333"/>
          <w:kern w:val="0"/>
          <w:sz w:val="32"/>
          <w:szCs w:val="32"/>
        </w:rPr>
        <w:t>月</w:t>
      </w:r>
      <w:r>
        <w:rPr>
          <w:rFonts w:hint="eastAsia" w:ascii="宋体" w:hAnsi="宋体" w:eastAsia="宋体" w:cs="宋体"/>
          <w:color w:val="333333"/>
          <w:kern w:val="0"/>
          <w:sz w:val="32"/>
          <w:szCs w:val="32"/>
          <w:u w:val="single"/>
        </w:rPr>
        <w:t>1</w:t>
      </w:r>
      <w:r>
        <w:rPr>
          <w:rFonts w:hint="eastAsia" w:ascii="宋体" w:hAnsi="宋体" w:eastAsia="宋体" w:cs="宋体"/>
          <w:color w:val="333333"/>
          <w:kern w:val="0"/>
          <w:sz w:val="32"/>
          <w:szCs w:val="32"/>
          <w:u w:val="single"/>
          <w:lang w:val="en-US" w:eastAsia="zh-CN"/>
        </w:rPr>
        <w:t>1</w:t>
      </w:r>
      <w:r>
        <w:rPr>
          <w:rFonts w:hint="eastAsia" w:ascii="宋体" w:hAnsi="宋体" w:eastAsia="宋体" w:cs="宋体"/>
          <w:color w:val="333333"/>
          <w:kern w:val="0"/>
          <w:sz w:val="32"/>
          <w:szCs w:val="32"/>
          <w:u w:val="single"/>
        </w:rPr>
        <w:t xml:space="preserve"> 日</w:t>
      </w:r>
      <w:r>
        <w:rPr>
          <w:rFonts w:hint="eastAsia" w:ascii="MS Mincho" w:hAnsi="MS Mincho" w:eastAsia="MS Mincho" w:cs="MS Mincho"/>
          <w:color w:val="333333"/>
          <w:kern w:val="0"/>
          <w:sz w:val="32"/>
          <w:szCs w:val="32"/>
          <w:u w:val="single"/>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center"/>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4"/>
          <w:szCs w:val="44"/>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b/>
          <w:bCs/>
          <w:color w:val="333333"/>
          <w:kern w:val="0"/>
          <w:sz w:val="40"/>
          <w:szCs w:val="40"/>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宋体" w:hAnsi="宋体" w:eastAsia="宋体" w:cs="宋体"/>
          <w:b/>
          <w:bCs/>
          <w:color w:val="333333"/>
          <w:kern w:val="0"/>
          <w:sz w:val="40"/>
          <w:szCs w:val="40"/>
        </w:rPr>
        <w:t>目 </w:t>
      </w:r>
      <w:r>
        <w:rPr>
          <w:rFonts w:hint="eastAsia" w:ascii="MS Mincho" w:hAnsi="MS Mincho" w:eastAsia="MS Mincho" w:cs="MS Mincho"/>
          <w:b/>
          <w:bCs/>
          <w:color w:val="333333"/>
          <w:kern w:val="0"/>
          <w:sz w:val="40"/>
          <w:szCs w:val="40"/>
        </w:rPr>
        <w:t> </w:t>
      </w:r>
      <w:r>
        <w:rPr>
          <w:rFonts w:hint="eastAsia" w:ascii="宋体" w:hAnsi="宋体" w:eastAsia="宋体" w:cs="宋体"/>
          <w:b/>
          <w:bCs/>
          <w:color w:val="333333"/>
          <w:kern w:val="0"/>
          <w:sz w:val="40"/>
          <w:szCs w:val="40"/>
        </w:rPr>
        <w:t>录</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b/>
          <w:bCs/>
          <w:color w:val="333333"/>
          <w:kern w:val="0"/>
          <w:sz w:val="40"/>
          <w:szCs w:val="40"/>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第一部分</w:t>
      </w:r>
      <w:r>
        <w:rPr>
          <w:rFonts w:hint="eastAsia" w:ascii="宋体" w:hAnsi="宋体" w:eastAsia="宋体" w:cs="宋体"/>
          <w:color w:val="333333"/>
          <w:kern w:val="0"/>
          <w:sz w:val="32"/>
          <w:szCs w:val="32"/>
        </w:rPr>
        <w:t> </w:t>
      </w: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农技推广站（部门）概况</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一、部门决算单位构成</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二、部门职责和机构设置</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第二部分</w:t>
      </w:r>
      <w:r>
        <w:rPr>
          <w:rFonts w:hint="eastAsia" w:ascii="宋体" w:hAnsi="宋体" w:eastAsia="宋体" w:cs="宋体"/>
          <w:color w:val="333333"/>
          <w:kern w:val="0"/>
          <w:sz w:val="32"/>
          <w:szCs w:val="32"/>
        </w:rPr>
        <w:t> </w:t>
      </w:r>
      <w:r>
        <w:rPr>
          <w:rFonts w:hint="eastAsia" w:ascii="黑体" w:hAnsi="黑体" w:eastAsia="黑体" w:cs="宋体"/>
          <w:color w:val="333333"/>
          <w:kern w:val="0"/>
          <w:sz w:val="32"/>
          <w:szCs w:val="32"/>
        </w:rPr>
        <w:t>农技推广站（部门）</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年度部门决算明细表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一、收入决算表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二、支出决算表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三、收支决算总表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四、财政拨款收入支出决算总表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五、一般公共预算财政拨款收入支出决算表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六、 一般公共预算财政拨款基本支出决算表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七、一般公共预算相关经费支出决算表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八、政府性基金预算财政拨款收入支出决算表</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第三部分</w:t>
      </w:r>
      <w:r>
        <w:rPr>
          <w:rFonts w:hint="eastAsia" w:ascii="宋体" w:hAnsi="宋体" w:eastAsia="宋体" w:cs="宋体"/>
          <w:color w:val="333333"/>
          <w:kern w:val="0"/>
          <w:sz w:val="32"/>
          <w:szCs w:val="32"/>
        </w:rPr>
        <w:t> </w:t>
      </w: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农技推广站</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年度部门决算情况说明</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第四部分</w:t>
      </w:r>
      <w:r>
        <w:rPr>
          <w:rFonts w:hint="eastAsia" w:ascii="宋体" w:hAnsi="宋体" w:eastAsia="宋体" w:cs="宋体"/>
          <w:color w:val="333333"/>
          <w:kern w:val="0"/>
          <w:sz w:val="32"/>
          <w:szCs w:val="32"/>
        </w:rPr>
        <w:t> </w:t>
      </w: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名词解释</w:t>
      </w:r>
    </w:p>
    <w:p>
      <w:pPr>
        <w:widowControl/>
        <w:shd w:val="clear" w:color="auto" w:fill="FFFFFF"/>
        <w:spacing w:line="560" w:lineRule="atLeast"/>
        <w:ind w:firstLine="600"/>
        <w:jc w:val="left"/>
        <w:rPr>
          <w:rFonts w:hint="eastAsia" w:ascii="MS Mincho" w:hAnsi="MS Mincho" w:eastAsia="MS Mincho" w:cs="MS Mincho"/>
          <w:color w:val="333333"/>
          <w:kern w:val="0"/>
          <w:sz w:val="48"/>
          <w:szCs w:val="48"/>
        </w:rPr>
      </w:pPr>
    </w:p>
    <w:p>
      <w:pPr>
        <w:widowControl/>
        <w:shd w:val="clear" w:color="auto" w:fill="FFFFFF"/>
        <w:spacing w:line="560" w:lineRule="atLeast"/>
        <w:ind w:firstLine="600"/>
        <w:jc w:val="left"/>
        <w:rPr>
          <w:rFonts w:hint="eastAsia" w:ascii="MS Mincho" w:hAnsi="MS Mincho" w:eastAsia="MS Mincho" w:cs="MS Mincho"/>
          <w:color w:val="333333"/>
          <w:kern w:val="0"/>
          <w:sz w:val="48"/>
          <w:szCs w:val="48"/>
        </w:rPr>
      </w:pPr>
    </w:p>
    <w:p>
      <w:pPr>
        <w:widowControl/>
        <w:shd w:val="clear" w:color="auto" w:fill="FFFFFF"/>
        <w:spacing w:line="560" w:lineRule="atLeast"/>
        <w:ind w:firstLine="600"/>
        <w:jc w:val="left"/>
        <w:rPr>
          <w:rFonts w:hint="eastAsia" w:ascii="MS Mincho" w:hAnsi="MS Mincho" w:eastAsia="MS Mincho" w:cs="MS Mincho"/>
          <w:color w:val="333333"/>
          <w:kern w:val="0"/>
          <w:sz w:val="48"/>
          <w:szCs w:val="48"/>
        </w:rPr>
      </w:pPr>
    </w:p>
    <w:p>
      <w:pPr>
        <w:widowControl/>
        <w:shd w:val="clear" w:color="auto" w:fill="FFFFFF"/>
        <w:spacing w:line="560" w:lineRule="atLeast"/>
        <w:ind w:firstLine="600"/>
        <w:jc w:val="left"/>
        <w:rPr>
          <w:rFonts w:hint="eastAsia" w:ascii="MS Mincho" w:hAnsi="MS Mincho" w:eastAsia="MS Mincho" w:cs="MS Mincho"/>
          <w:color w:val="333333"/>
          <w:kern w:val="0"/>
          <w:sz w:val="48"/>
          <w:szCs w:val="48"/>
        </w:rPr>
      </w:pPr>
    </w:p>
    <w:p>
      <w:pPr>
        <w:widowControl/>
        <w:shd w:val="clear" w:color="auto" w:fill="FFFFFF"/>
        <w:spacing w:line="560" w:lineRule="atLeast"/>
        <w:ind w:firstLine="600"/>
        <w:jc w:val="left"/>
        <w:rPr>
          <w:rFonts w:hint="eastAsia" w:ascii="MS Mincho" w:hAnsi="MS Mincho" w:eastAsia="MS Mincho" w:cs="MS Mincho"/>
          <w:color w:val="333333"/>
          <w:kern w:val="0"/>
          <w:sz w:val="48"/>
          <w:szCs w:val="48"/>
        </w:rPr>
      </w:pP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48"/>
          <w:szCs w:val="48"/>
        </w:rPr>
        <w:t>第一部分</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48"/>
          <w:szCs w:val="48"/>
        </w:rPr>
        <w:t>农技推广站概况</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一、部门决算单位构成</w:t>
      </w:r>
    </w:p>
    <w:p>
      <w:pPr>
        <w:widowControl/>
        <w:shd w:val="clear" w:color="auto" w:fill="FFFFFF"/>
        <w:spacing w:line="560" w:lineRule="atLeast"/>
        <w:ind w:firstLine="128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农技推广站（部门）</w:t>
      </w: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年度决算公开包括以下单位数据：农技推广站</w:t>
      </w:r>
    </w:p>
    <w:p>
      <w:pPr>
        <w:widowControl/>
        <w:shd w:val="clear" w:color="auto" w:fill="FFFFFF"/>
        <w:spacing w:line="560" w:lineRule="atLeast"/>
        <w:ind w:firstLine="47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二、部门职责和机构设置</w:t>
      </w:r>
    </w:p>
    <w:p>
      <w:pPr>
        <w:widowControl/>
        <w:shd w:val="clear" w:color="auto" w:fill="FFFFFF"/>
        <w:spacing w:line="560" w:lineRule="atLeast"/>
        <w:ind w:firstLine="47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（一）部门职责</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农技推广站是农业技术推广机构，主要履行下列职责：</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1.贯彻执行国家有关农业种植业方面的政策法规，贯彻执行国家有关，农产品质量安全方面的法律法规和标准，开展农产品质量安全监管工作，编制全区农技推广事业规划，并指导实施。</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2.承担全区农业科技基础研究和，农业生产技术推广工作。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3.重点解决全区农业发展和农业生产时间中的技术难题。</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4.全方位开展农业生产全过程的技术服务工作。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5.组织参与耕地资源普查工作，研究提出耕地保护、补偿与盖里阿静的政策措施。</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6.知道农垦事业，管理农垦经济体制改革、技术改造、产业开发和结构调整工作。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7.负责土壤、气候、生态等农业生产环境监测评价，开展土肥研究很运用推广，组织实施测土配方施肥，承担生态农业建设工作任务。</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8.组织化肥、农药、种子（苗）等产品的质量监督、检验、鉴定、登记。</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9.负责农情网点的建设和农业信息工作，汇集和传递农业种植业生产情况，掌握农业种植业生产和控制自然灾情。</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10.负责能源沼气技术推广与维护管理和指导乡镇农业种植业技术推广工作。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11.负责结合实际引进、试种、示范、推广新品种。</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12.参与农业结构调整、农产品基地建设，指导上产绿色食品的管理工作。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13.负责到基层指导服务农业生产、推广地膜、嫁接等技术、宣传化肥、农药使用技术。</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14.负责农业研究项目的定项、研究、论证及总结等相关工作。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15.承担上级业务主管部门下达的农机化新技术和新机具推广项目。</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16.负责拖拉机及其他农用机械的登记、发证、牌照、审验、使用、建档和统计等管理工作。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17.负责拖拉机驾驶员和其他农用机械操作人员的培训，考试考核及审验工作。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18.负责推广农业机械新产品和新技术，未农牧民提供农业机械技术支持与服务。</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19.负责农业机械示范并引导农牧民掌握安全作业技能等工作。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20.负责农产品质量安全方面的技术咨询、宣传培训工作，组织开展农产品质量安全量化考核、达标验收等工作。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21.负责区域“三品一表”认证及农产品质量安全标准制定和修订及验证工作。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22.负责区域农产品质量安全日常监督检查工作，定期对本区的农产品进行质量检测方案，编写农产品质量检测报告。</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23.定期向上级有关部门报送农产品质量安全检测信息，协助有关部门实施对全区农产品市场的管理工作。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24.承担或参与上级有关部门下达的行政技术执法，接受业务部门委托的农产品质量安全工作。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25.负责组织农产品质量安全突发事件应急处理工作。</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26.承担区农牧局交办和市农牧局委托的其他工作。</w:t>
      </w:r>
    </w:p>
    <w:p>
      <w:pPr>
        <w:widowControl/>
        <w:shd w:val="clear" w:color="auto" w:fill="FFFFFF"/>
        <w:spacing w:line="560" w:lineRule="atLeast"/>
        <w:ind w:firstLine="643"/>
        <w:jc w:val="left"/>
        <w:rPr>
          <w:rFonts w:ascii="Verdana" w:hAnsi="Verdana" w:eastAsia="宋体" w:cs="宋体"/>
          <w:color w:val="333333"/>
          <w:kern w:val="0"/>
          <w:sz w:val="24"/>
          <w:szCs w:val="24"/>
        </w:rPr>
      </w:pPr>
      <w:r>
        <w:rPr>
          <w:rFonts w:hint="eastAsia" w:ascii="仿宋_GB2312" w:hAnsi="Verdana" w:eastAsia="仿宋_GB2312" w:cs="宋体"/>
          <w:b/>
          <w:bCs/>
          <w:color w:val="000000"/>
          <w:kern w:val="0"/>
          <w:sz w:val="32"/>
          <w:szCs w:val="32"/>
        </w:rPr>
        <w:t>（二）部门机构设置</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b/>
          <w:bCs/>
          <w:color w:val="000000"/>
          <w:kern w:val="0"/>
          <w:sz w:val="32"/>
          <w:szCs w:val="32"/>
        </w:rPr>
        <w:t>   </w:t>
      </w:r>
      <w:r>
        <w:rPr>
          <w:rFonts w:hint="eastAsia" w:ascii="MS Mincho" w:hAnsi="MS Mincho" w:eastAsia="MS Mincho" w:cs="MS Mincho"/>
          <w:color w:val="000000"/>
          <w:kern w:val="0"/>
          <w:sz w:val="32"/>
          <w:szCs w:val="32"/>
        </w:rPr>
        <w:t> </w:t>
      </w:r>
      <w:r>
        <w:rPr>
          <w:rFonts w:hint="eastAsia" w:ascii="仿宋_GB2312" w:hAnsi="Verdana" w:eastAsia="仿宋_GB2312" w:cs="宋体"/>
          <w:color w:val="000000"/>
          <w:kern w:val="0"/>
          <w:sz w:val="32"/>
          <w:szCs w:val="32"/>
        </w:rPr>
        <w:t>内设机构1个;</w:t>
      </w: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rPr>
        <w:t>农技推广站。</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br w:type="textWrapping"/>
      </w:r>
    </w:p>
    <w:p>
      <w:pPr>
        <w:widowControl/>
        <w:shd w:val="clear" w:color="auto" w:fill="FFFFFF"/>
        <w:spacing w:line="560" w:lineRule="atLeast"/>
        <w:ind w:firstLine="640"/>
        <w:jc w:val="left"/>
        <w:rPr>
          <w:rFonts w:hint="eastAsia" w:ascii="MS Mincho" w:hAnsi="MS Mincho" w:eastAsia="MS Mincho" w:cs="MS Mincho"/>
          <w:color w:val="333333"/>
          <w:kern w:val="0"/>
          <w:sz w:val="52"/>
          <w:szCs w:val="52"/>
        </w:rPr>
      </w:pPr>
      <w:r>
        <w:rPr>
          <w:rFonts w:hint="eastAsia" w:ascii="MS Mincho" w:hAnsi="MS Mincho" w:eastAsia="MS Mincho" w:cs="MS Mincho"/>
          <w:color w:val="333333"/>
          <w:kern w:val="0"/>
          <w:sz w:val="32"/>
          <w:szCs w:val="32"/>
        </w:rPr>
        <w:t> </w:t>
      </w:r>
      <w:r>
        <w:rPr>
          <w:rFonts w:hint="eastAsia" w:ascii="MS Mincho" w:hAnsi="MS Mincho" w:eastAsia="MS Mincho" w:cs="MS Mincho"/>
          <w:color w:val="333333"/>
          <w:kern w:val="0"/>
          <w:sz w:val="52"/>
          <w:szCs w:val="52"/>
        </w:rPr>
        <w:t> </w:t>
      </w:r>
    </w:p>
    <w:p>
      <w:pPr>
        <w:widowControl/>
        <w:shd w:val="clear" w:color="auto" w:fill="FFFFFF"/>
        <w:spacing w:line="560" w:lineRule="atLeast"/>
        <w:ind w:firstLine="640"/>
        <w:jc w:val="left"/>
        <w:rPr>
          <w:rFonts w:hint="eastAsia" w:ascii="MS Mincho" w:hAnsi="MS Mincho" w:eastAsia="MS Mincho" w:cs="MS Mincho"/>
          <w:color w:val="333333"/>
          <w:kern w:val="0"/>
          <w:sz w:val="52"/>
          <w:szCs w:val="52"/>
        </w:rPr>
      </w:pPr>
      <w:r>
        <w:rPr>
          <w:rFonts w:hint="eastAsia" w:ascii="MS Mincho" w:hAnsi="MS Mincho" w:eastAsia="MS Mincho" w:cs="MS Mincho"/>
          <w:color w:val="333333"/>
          <w:kern w:val="0"/>
          <w:sz w:val="52"/>
          <w:szCs w:val="52"/>
        </w:rPr>
        <w:br w:type="page"/>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52"/>
          <w:szCs w:val="52"/>
        </w:rPr>
        <w:t>第二部分</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52"/>
          <w:szCs w:val="52"/>
        </w:rPr>
        <w:t>农技推广站（部门）</w:t>
      </w:r>
      <w:r>
        <w:rPr>
          <w:rFonts w:hint="eastAsia" w:ascii="黑体" w:hAnsi="黑体" w:eastAsia="黑体" w:cs="宋体"/>
          <w:color w:val="333333"/>
          <w:kern w:val="0"/>
          <w:sz w:val="52"/>
          <w:szCs w:val="52"/>
          <w:lang w:eastAsia="zh-CN"/>
        </w:rPr>
        <w:t>2019</w:t>
      </w:r>
      <w:r>
        <w:rPr>
          <w:rFonts w:hint="eastAsia" w:ascii="黑体" w:hAnsi="黑体" w:eastAsia="黑体" w:cs="宋体"/>
          <w:color w:val="333333"/>
          <w:kern w:val="0"/>
          <w:sz w:val="52"/>
          <w:szCs w:val="52"/>
        </w:rPr>
        <w:t>年度决算明细表</w:t>
      </w:r>
      <w:r>
        <w:rPr>
          <w:rFonts w:hint="eastAsia" w:ascii="仿宋" w:hAnsi="仿宋" w:eastAsia="仿宋" w:cs="宋体"/>
          <w:b/>
          <w:bCs/>
          <w:color w:val="333333"/>
          <w:kern w:val="0"/>
          <w:sz w:val="32"/>
          <w:szCs w:val="32"/>
        </w:rPr>
        <w:t>（见附表1-8）</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p>
    <w:p>
      <w:pPr>
        <w:widowControl/>
        <w:shd w:val="clear" w:color="auto" w:fill="FFFFFF"/>
        <w:spacing w:line="560" w:lineRule="atLeast"/>
        <w:ind w:firstLine="600"/>
        <w:jc w:val="left"/>
        <w:rPr>
          <w:rFonts w:hint="eastAsia" w:ascii="黑体" w:hAnsi="黑体" w:eastAsia="黑体" w:cs="宋体"/>
          <w:color w:val="333333"/>
          <w:kern w:val="0"/>
          <w:sz w:val="52"/>
          <w:szCs w:val="52"/>
        </w:rPr>
      </w:pPr>
      <w:r>
        <w:rPr>
          <w:rFonts w:hint="eastAsia" w:ascii="黑体" w:hAnsi="黑体" w:eastAsia="黑体" w:cs="宋体"/>
          <w:color w:val="333333"/>
          <w:kern w:val="0"/>
          <w:sz w:val="52"/>
          <w:szCs w:val="52"/>
        </w:rPr>
        <w:br w:type="page"/>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52"/>
          <w:szCs w:val="52"/>
        </w:rPr>
        <w:t>第三部分</w:t>
      </w:r>
      <w:r>
        <w:rPr>
          <w:rFonts w:hint="eastAsia" w:ascii="MS Mincho" w:hAnsi="MS Mincho" w:eastAsia="MS Mincho" w:cs="MS Mincho"/>
          <w:color w:val="333333"/>
          <w:kern w:val="0"/>
          <w:sz w:val="52"/>
          <w:szCs w:val="52"/>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黑体" w:hAnsi="黑体" w:eastAsia="黑体" w:cs="宋体"/>
          <w:color w:val="333333"/>
          <w:kern w:val="0"/>
          <w:sz w:val="52"/>
          <w:szCs w:val="52"/>
        </w:rPr>
        <w:t>农技推广站（部门）</w:t>
      </w:r>
      <w:r>
        <w:rPr>
          <w:rFonts w:hint="eastAsia" w:ascii="MS Mincho" w:hAnsi="MS Mincho" w:eastAsia="MS Mincho" w:cs="MS Mincho"/>
          <w:color w:val="333333"/>
          <w:kern w:val="0"/>
          <w:sz w:val="52"/>
          <w:szCs w:val="52"/>
        </w:rPr>
        <w:t>   </w:t>
      </w:r>
      <w:r>
        <w:rPr>
          <w:rFonts w:hint="eastAsia" w:ascii="黑体" w:hAnsi="黑体" w:eastAsia="黑体" w:cs="宋体"/>
          <w:color w:val="333333"/>
          <w:kern w:val="0"/>
          <w:sz w:val="52"/>
          <w:szCs w:val="52"/>
          <w:lang w:eastAsia="zh-CN"/>
        </w:rPr>
        <w:t>2019</w:t>
      </w:r>
      <w:r>
        <w:rPr>
          <w:rFonts w:hint="eastAsia" w:ascii="黑体" w:hAnsi="黑体" w:eastAsia="黑体" w:cs="宋体"/>
          <w:color w:val="333333"/>
          <w:kern w:val="0"/>
          <w:sz w:val="52"/>
          <w:szCs w:val="52"/>
        </w:rPr>
        <w:t>年度决算情况说明</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48"/>
          <w:szCs w:val="48"/>
        </w:rPr>
        <w:t> </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一、</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年度一般公共预算收支总体情况说明</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年收入</w:t>
      </w:r>
      <w:r>
        <w:rPr>
          <w:rFonts w:hint="eastAsia" w:ascii="MS Mincho" w:hAnsi="MS Mincho" w:eastAsia="MS Mincho" w:cs="MS Mincho"/>
          <w:color w:val="333333"/>
          <w:kern w:val="0"/>
          <w:sz w:val="32"/>
          <w:szCs w:val="32"/>
        </w:rPr>
        <w:t> </w:t>
      </w:r>
      <w:r>
        <w:rPr>
          <w:rFonts w:hint="eastAsia" w:ascii="仿宋_GB2312" w:hAnsi="Verdana" w:eastAsia="仿宋_GB2312" w:cs="宋体"/>
          <w:color w:val="000000"/>
          <w:kern w:val="0"/>
          <w:sz w:val="32"/>
          <w:szCs w:val="32"/>
        </w:rPr>
        <w:t>年初预算数</w:t>
      </w:r>
      <w:r>
        <w:rPr>
          <w:rFonts w:hint="eastAsia" w:ascii="仿宋_GB2312" w:hAnsi="Verdana" w:eastAsia="仿宋_GB2312" w:cs="宋体"/>
          <w:color w:val="000000"/>
          <w:kern w:val="0"/>
          <w:sz w:val="32"/>
          <w:szCs w:val="32"/>
          <w:lang w:val="en-US" w:eastAsia="zh-CN"/>
        </w:rPr>
        <w:t>173.84</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200.32万元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，减少26.48万元，下降了15.23%；</w:t>
      </w:r>
      <w:r>
        <w:rPr>
          <w:rFonts w:hint="eastAsia" w:ascii="仿宋_GB2312" w:hAnsi="Verdana" w:eastAsia="仿宋_GB2312" w:cs="宋体"/>
          <w:color w:val="000000"/>
          <w:kern w:val="0"/>
          <w:sz w:val="32"/>
          <w:szCs w:val="32"/>
        </w:rPr>
        <w:t>调整预算数</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年度</w:t>
      </w:r>
      <w:r>
        <w:rPr>
          <w:rFonts w:hint="eastAsia" w:ascii="仿宋_GB2312" w:hAnsi="宋体" w:eastAsia="仿宋_GB2312" w:cs="仿宋_GB2312"/>
          <w:color w:val="000000"/>
          <w:kern w:val="0"/>
          <w:sz w:val="31"/>
          <w:szCs w:val="31"/>
          <w:lang w:val="en-US" w:eastAsia="zh-CN" w:bidi="ar"/>
        </w:rPr>
        <w:t xml:space="preserve"> 149.1万元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，增加25.18万元，增长了14.44%；</w:t>
      </w:r>
      <w:r>
        <w:rPr>
          <w:rFonts w:hint="eastAsia" w:ascii="仿宋_GB2312" w:hAnsi="Verdana" w:eastAsia="仿宋_GB2312" w:cs="宋体"/>
          <w:color w:val="000000"/>
          <w:kern w:val="0"/>
          <w:sz w:val="32"/>
          <w:szCs w:val="32"/>
        </w:rPr>
        <w:t>收入决算数</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w:t>
      </w:r>
      <w:r>
        <w:rPr>
          <w:rFonts w:hint="eastAsia" w:ascii="仿宋_GB2312" w:hAnsi="Verdana" w:eastAsia="仿宋_GB2312" w:cs="宋体"/>
          <w:color w:val="000000"/>
          <w:kern w:val="0"/>
          <w:sz w:val="32"/>
          <w:szCs w:val="32"/>
          <w:lang w:eastAsia="zh-CN"/>
        </w:rPr>
        <w:t>，</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149.1万元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增加25.18万元，增长了14.44%</w:t>
      </w:r>
      <w:r>
        <w:rPr>
          <w:rFonts w:hint="eastAsia" w:ascii="仿宋_GB2312" w:hAnsi="Verdana" w:eastAsia="仿宋_GB2312" w:cs="宋体"/>
          <w:color w:val="000000"/>
          <w:kern w:val="0"/>
          <w:sz w:val="32"/>
          <w:szCs w:val="32"/>
        </w:rPr>
        <w:t>。</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w:t>
      </w:r>
      <w:r>
        <w:rPr>
          <w:rFonts w:hint="eastAsia" w:ascii="仿宋_GB2312" w:hAnsi="Verdana" w:eastAsia="仿宋_GB2312" w:cs="宋体"/>
          <w:color w:val="333333"/>
          <w:kern w:val="0"/>
          <w:sz w:val="32"/>
          <w:szCs w:val="32"/>
        </w:rPr>
        <w:t>支出</w:t>
      </w:r>
      <w:r>
        <w:rPr>
          <w:rFonts w:hint="eastAsia" w:ascii="仿宋_GB2312" w:hAnsi="Verdana" w:eastAsia="仿宋_GB2312" w:cs="宋体"/>
          <w:color w:val="000000"/>
          <w:kern w:val="0"/>
          <w:sz w:val="32"/>
          <w:szCs w:val="32"/>
        </w:rPr>
        <w:t>年初预算数</w:t>
      </w:r>
      <w:r>
        <w:rPr>
          <w:rFonts w:hint="eastAsia" w:ascii="仿宋_GB2312" w:hAnsi="Verdana" w:eastAsia="仿宋_GB2312" w:cs="宋体"/>
          <w:color w:val="000000"/>
          <w:kern w:val="0"/>
          <w:sz w:val="32"/>
          <w:szCs w:val="32"/>
          <w:lang w:val="en-US" w:eastAsia="zh-CN"/>
        </w:rPr>
        <w:t>174.47</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200.95万元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，减少26.48万元，下降了15.18%；</w:t>
      </w:r>
      <w:r>
        <w:rPr>
          <w:rFonts w:hint="eastAsia" w:ascii="仿宋_GB2312" w:hAnsi="Verdana" w:eastAsia="仿宋_GB2312" w:cs="宋体"/>
          <w:color w:val="000000"/>
          <w:kern w:val="0"/>
          <w:sz w:val="32"/>
          <w:szCs w:val="32"/>
        </w:rPr>
        <w:t>调整预算数</w:t>
      </w:r>
      <w:r>
        <w:rPr>
          <w:rFonts w:hint="eastAsia" w:ascii="仿宋_GB2312" w:hAnsi="Verdana" w:eastAsia="仿宋_GB2312" w:cs="宋体"/>
          <w:color w:val="000000"/>
          <w:kern w:val="0"/>
          <w:sz w:val="32"/>
          <w:szCs w:val="32"/>
          <w:lang w:val="en-US" w:eastAsia="zh-CN"/>
        </w:rPr>
        <w:t>174.91</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149.73万元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，增加25.18万元，增长了14.4%；</w:t>
      </w:r>
      <w:r>
        <w:rPr>
          <w:rFonts w:hint="eastAsia" w:ascii="仿宋_GB2312" w:hAnsi="Verdana" w:eastAsia="仿宋_GB2312" w:cs="宋体"/>
          <w:color w:val="000000"/>
          <w:kern w:val="0"/>
          <w:sz w:val="32"/>
          <w:szCs w:val="32"/>
        </w:rPr>
        <w:t>支出决算数</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w:t>
      </w:r>
      <w:r>
        <w:rPr>
          <w:rFonts w:ascii="仿宋_GB2312" w:hAnsi="宋体" w:eastAsia="仿宋_GB2312" w:cs="仿宋_GB2312"/>
          <w:color w:val="000000"/>
          <w:kern w:val="0"/>
          <w:sz w:val="31"/>
          <w:szCs w:val="31"/>
          <w:lang w:val="en-US" w:eastAsia="zh-CN" w:bidi="ar"/>
        </w:rPr>
        <w:t>与 20</w:t>
      </w:r>
      <w:r>
        <w:rPr>
          <w:rFonts w:hint="eastAsia" w:ascii="仿宋_GB2312" w:hAnsi="宋体" w:eastAsia="仿宋_GB2312" w:cs="仿宋_GB2312"/>
          <w:color w:val="000000"/>
          <w:kern w:val="0"/>
          <w:sz w:val="31"/>
          <w:szCs w:val="31"/>
          <w:lang w:val="en-US" w:eastAsia="zh-CN" w:bidi="ar"/>
        </w:rPr>
        <w:t>18</w:t>
      </w:r>
      <w:r>
        <w:rPr>
          <w:rFonts w:ascii="仿宋_GB2312" w:hAnsi="宋体" w:eastAsia="仿宋_GB2312" w:cs="仿宋_GB2312"/>
          <w:color w:val="000000"/>
          <w:kern w:val="0"/>
          <w:sz w:val="31"/>
          <w:szCs w:val="31"/>
          <w:lang w:val="en-US" w:eastAsia="zh-CN" w:bidi="ar"/>
        </w:rPr>
        <w:t xml:space="preserve"> 年度</w:t>
      </w:r>
      <w:r>
        <w:rPr>
          <w:rFonts w:hint="eastAsia" w:ascii="仿宋_GB2312" w:hAnsi="宋体" w:eastAsia="仿宋_GB2312" w:cs="仿宋_GB2312"/>
          <w:color w:val="000000"/>
          <w:kern w:val="0"/>
          <w:sz w:val="31"/>
          <w:szCs w:val="31"/>
          <w:lang w:val="en-US" w:eastAsia="zh-CN" w:bidi="ar"/>
        </w:rPr>
        <w:t xml:space="preserve"> 149.1万元</w:t>
      </w:r>
      <w:r>
        <w:rPr>
          <w:rFonts w:ascii="仿宋_GB2312" w:hAnsi="宋体" w:eastAsia="仿宋_GB2312" w:cs="仿宋_GB2312"/>
          <w:color w:val="000000"/>
          <w:kern w:val="0"/>
          <w:sz w:val="31"/>
          <w:szCs w:val="31"/>
          <w:lang w:val="en-US" w:eastAsia="zh-CN" w:bidi="ar"/>
        </w:rPr>
        <w:t>相比</w:t>
      </w:r>
      <w:r>
        <w:rPr>
          <w:rFonts w:hint="eastAsia" w:ascii="仿宋_GB2312" w:hAnsi="宋体" w:eastAsia="仿宋_GB2312" w:cs="仿宋_GB2312"/>
          <w:color w:val="000000"/>
          <w:kern w:val="0"/>
          <w:sz w:val="31"/>
          <w:szCs w:val="31"/>
          <w:lang w:val="en-US" w:eastAsia="zh-CN" w:bidi="ar"/>
        </w:rPr>
        <w:t>，增加25.18万元，增长了14.45%</w:t>
      </w:r>
      <w:r>
        <w:rPr>
          <w:rFonts w:hint="eastAsia" w:ascii="仿宋_GB2312" w:hAnsi="Verdana" w:eastAsia="仿宋_GB2312" w:cs="宋体"/>
          <w:color w:val="000000"/>
          <w:kern w:val="0"/>
          <w:sz w:val="32"/>
          <w:szCs w:val="32"/>
        </w:rPr>
        <w:t>。</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000000"/>
          <w:kern w:val="0"/>
          <w:sz w:val="32"/>
          <w:szCs w:val="32"/>
        </w:rPr>
        <w:t>二、</w:t>
      </w:r>
      <w:r>
        <w:rPr>
          <w:rFonts w:hint="eastAsia" w:ascii="黑体" w:hAnsi="黑体" w:eastAsia="黑体" w:cs="宋体"/>
          <w:color w:val="000000"/>
          <w:kern w:val="0"/>
          <w:sz w:val="32"/>
          <w:szCs w:val="32"/>
          <w:lang w:eastAsia="zh-CN"/>
        </w:rPr>
        <w:t>2019</w:t>
      </w:r>
      <w:r>
        <w:rPr>
          <w:rFonts w:hint="eastAsia" w:ascii="黑体" w:hAnsi="黑体" w:eastAsia="黑体" w:cs="宋体"/>
          <w:color w:val="000000"/>
          <w:kern w:val="0"/>
          <w:sz w:val="32"/>
          <w:szCs w:val="32"/>
        </w:rPr>
        <w:t>年度一般公共预算收入情况说明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年全年总收入</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万元，财政拨款收入</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w:t>
      </w:r>
      <w:bookmarkStart w:id="0" w:name="_GoBack"/>
      <w:bookmarkEnd w:id="0"/>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000000"/>
          <w:kern w:val="0"/>
          <w:sz w:val="32"/>
          <w:szCs w:val="32"/>
        </w:rPr>
        <w:t>三、</w:t>
      </w:r>
      <w:r>
        <w:rPr>
          <w:rFonts w:hint="eastAsia" w:ascii="黑体" w:hAnsi="黑体" w:eastAsia="黑体" w:cs="宋体"/>
          <w:color w:val="000000"/>
          <w:kern w:val="0"/>
          <w:sz w:val="32"/>
          <w:szCs w:val="32"/>
          <w:lang w:eastAsia="zh-CN"/>
        </w:rPr>
        <w:t>2019</w:t>
      </w:r>
      <w:r>
        <w:rPr>
          <w:rFonts w:hint="eastAsia" w:ascii="黑体" w:hAnsi="黑体" w:eastAsia="黑体" w:cs="宋体"/>
          <w:color w:val="000000"/>
          <w:kern w:val="0"/>
          <w:sz w:val="32"/>
          <w:szCs w:val="32"/>
        </w:rPr>
        <w:t>年度一般公共预算支出情况说明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MS Mincho" w:hAnsi="MS Mincho" w:eastAsia="MS Mincho" w:cs="MS Mincho"/>
          <w:color w:val="000000"/>
          <w:kern w:val="0"/>
          <w:sz w:val="32"/>
          <w:szCs w:val="32"/>
        </w:rPr>
        <w:t> </w:t>
      </w: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年全年总支出为</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万元，基本支出</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四、</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年度一般公共预算财政拨款支出情况说明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（一）财政拨款支出决算总体情况</w:t>
      </w:r>
    </w:p>
    <w:p>
      <w:pPr>
        <w:widowControl/>
        <w:shd w:val="clear" w:color="auto" w:fill="FFFFFF"/>
        <w:spacing w:line="560" w:lineRule="atLeast"/>
        <w:ind w:firstLine="627"/>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w:t>
      </w:r>
      <w:r>
        <w:rPr>
          <w:rFonts w:hint="eastAsia" w:ascii="仿宋_GB2312" w:hAnsi="Verdana" w:eastAsia="仿宋_GB2312" w:cs="宋体"/>
          <w:color w:val="333333"/>
          <w:kern w:val="0"/>
          <w:sz w:val="32"/>
          <w:szCs w:val="32"/>
        </w:rPr>
        <w:t>财政拨款</w:t>
      </w:r>
      <w:r>
        <w:rPr>
          <w:rFonts w:hint="eastAsia" w:ascii="仿宋_GB2312" w:hAnsi="Verdana" w:eastAsia="仿宋_GB2312" w:cs="宋体"/>
          <w:color w:val="000000"/>
          <w:kern w:val="0"/>
          <w:sz w:val="32"/>
          <w:szCs w:val="32"/>
        </w:rPr>
        <w:t>支出</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万元，其中基本支出</w:t>
      </w:r>
      <w:r>
        <w:rPr>
          <w:rFonts w:hint="eastAsia" w:ascii="仿宋_GB2312" w:hAnsi="Verdana" w:eastAsia="仿宋_GB2312" w:cs="宋体"/>
          <w:color w:val="000000"/>
          <w:kern w:val="0"/>
          <w:sz w:val="32"/>
          <w:szCs w:val="32"/>
          <w:lang w:val="en-US" w:eastAsia="zh-CN"/>
        </w:rPr>
        <w:t>174.28</w:t>
      </w:r>
      <w:r>
        <w:rPr>
          <w:rFonts w:hint="eastAsia" w:ascii="仿宋_GB2312" w:hAnsi="Verdana" w:eastAsia="仿宋_GB2312" w:cs="宋体"/>
          <w:color w:val="000000"/>
          <w:kern w:val="0"/>
          <w:sz w:val="32"/>
          <w:szCs w:val="32"/>
        </w:rPr>
        <w:t>万元，占总支出的100%。</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（二）财政拨款支出决算结构情况</w:t>
      </w:r>
    </w:p>
    <w:p>
      <w:pPr>
        <w:widowControl/>
        <w:shd w:val="clear" w:color="auto" w:fill="FFFFFF"/>
        <w:spacing w:line="560" w:lineRule="atLeast"/>
        <w:ind w:firstLine="627"/>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年度工资福利支出</w:t>
      </w:r>
      <w:r>
        <w:rPr>
          <w:rFonts w:hint="eastAsia" w:ascii="仿宋_GB2312" w:hAnsi="Verdana" w:eastAsia="仿宋_GB2312" w:cs="宋体"/>
          <w:color w:val="000000"/>
          <w:kern w:val="0"/>
          <w:sz w:val="32"/>
          <w:szCs w:val="32"/>
          <w:lang w:val="en-US" w:eastAsia="zh-CN"/>
        </w:rPr>
        <w:t>159.29</w:t>
      </w:r>
      <w:r>
        <w:rPr>
          <w:rFonts w:hint="eastAsia" w:ascii="仿宋_GB2312" w:hAnsi="Verdana" w:eastAsia="仿宋_GB2312" w:cs="宋体"/>
          <w:color w:val="000000"/>
          <w:kern w:val="0"/>
          <w:sz w:val="32"/>
          <w:szCs w:val="32"/>
        </w:rPr>
        <w:t>万元；商品服务支出</w:t>
      </w:r>
      <w:r>
        <w:rPr>
          <w:rFonts w:hint="eastAsia" w:ascii="仿宋_GB2312" w:hAnsi="Verdana" w:eastAsia="仿宋_GB2312" w:cs="宋体"/>
          <w:color w:val="000000"/>
          <w:kern w:val="0"/>
          <w:sz w:val="32"/>
          <w:szCs w:val="32"/>
          <w:lang w:val="en-US" w:eastAsia="zh-CN"/>
        </w:rPr>
        <w:t>14.99</w:t>
      </w:r>
      <w:r>
        <w:rPr>
          <w:rFonts w:hint="eastAsia" w:ascii="仿宋_GB2312" w:hAnsi="Verdana" w:eastAsia="仿宋_GB2312" w:cs="宋体"/>
          <w:color w:val="000000"/>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（三）财政拨款支出决算具体情况</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一般公共预算当年财政拨款具体使用情况：</w:t>
      </w:r>
    </w:p>
    <w:p>
      <w:pPr>
        <w:widowControl/>
        <w:shd w:val="clear" w:color="auto" w:fill="FFFFFF"/>
        <w:spacing w:line="560" w:lineRule="atLeast"/>
        <w:ind w:firstLine="8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1.</w:t>
      </w:r>
      <w:r>
        <w:rPr>
          <w:rFonts w:hint="eastAsia" w:ascii="仿宋_GB2312" w:hAnsi="Verdana" w:eastAsia="仿宋_GB2312" w:cs="宋体"/>
          <w:color w:val="000000"/>
          <w:kern w:val="0"/>
          <w:sz w:val="32"/>
          <w:szCs w:val="32"/>
        </w:rPr>
        <w:t>农林水支出</w:t>
      </w:r>
      <w:r>
        <w:rPr>
          <w:rFonts w:hint="eastAsia" w:ascii="仿宋_GB2312" w:hAnsi="Verdana" w:eastAsia="仿宋_GB2312" w:cs="宋体"/>
          <w:color w:val="333333"/>
          <w:kern w:val="0"/>
          <w:sz w:val="32"/>
          <w:szCs w:val="32"/>
        </w:rPr>
        <w:t>为</w:t>
      </w:r>
      <w:r>
        <w:rPr>
          <w:rFonts w:hint="eastAsia" w:ascii="仿宋_GB2312" w:hAnsi="Verdana" w:eastAsia="仿宋_GB2312" w:cs="宋体"/>
          <w:color w:val="333333"/>
          <w:kern w:val="0"/>
          <w:sz w:val="32"/>
          <w:szCs w:val="32"/>
          <w:lang w:val="en-US" w:eastAsia="zh-CN"/>
        </w:rPr>
        <w:t>163.73</w:t>
      </w:r>
      <w:r>
        <w:rPr>
          <w:rFonts w:hint="eastAsia" w:ascii="仿宋_GB2312" w:hAnsi="Verdana" w:eastAsia="仿宋_GB2312" w:cs="宋体"/>
          <w:color w:val="333333"/>
          <w:kern w:val="0"/>
          <w:sz w:val="32"/>
          <w:szCs w:val="32"/>
        </w:rPr>
        <w:t>万元。</w:t>
      </w:r>
    </w:p>
    <w:p>
      <w:pPr>
        <w:widowControl/>
        <w:shd w:val="clear" w:color="auto" w:fill="FFFFFF"/>
        <w:spacing w:line="560" w:lineRule="atLeast"/>
        <w:ind w:firstLine="8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2.住房保障支出</w:t>
      </w:r>
      <w:r>
        <w:rPr>
          <w:rFonts w:hint="eastAsia" w:ascii="仿宋_GB2312" w:hAnsi="Verdana" w:eastAsia="仿宋_GB2312" w:cs="宋体"/>
          <w:color w:val="333333"/>
          <w:kern w:val="0"/>
          <w:sz w:val="32"/>
          <w:szCs w:val="32"/>
          <w:lang w:val="en-US" w:eastAsia="zh-CN"/>
        </w:rPr>
        <w:t>10.55</w:t>
      </w:r>
      <w:r>
        <w:rPr>
          <w:rFonts w:hint="eastAsia" w:ascii="仿宋_GB2312" w:hAnsi="Verdana" w:eastAsia="仿宋_GB2312" w:cs="宋体"/>
          <w:color w:val="333333"/>
          <w:kern w:val="0"/>
          <w:sz w:val="32"/>
          <w:szCs w:val="32"/>
        </w:rPr>
        <w:t>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五、</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年度“三公”经费预决算情况说明</w:t>
      </w:r>
    </w:p>
    <w:p>
      <w:pPr>
        <w:widowControl/>
        <w:shd w:val="clear" w:color="auto" w:fill="FFFFFF"/>
        <w:spacing w:line="560" w:lineRule="atLeast"/>
        <w:ind w:firstLine="645"/>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为有效落实中央、自治区、市委关于厉行节约的各项规定，进一步规范因公出国（境）经费、公务用车购置及运行费、公务接待费的管理，从严控制“三公”经费开支，树立勤俭节约的良好风气，我农技推广服务站不断强化责任意识，在保证正常工作开展的前提下，进一步挖掘节约潜力，</w:t>
      </w:r>
      <w:r>
        <w:rPr>
          <w:rFonts w:hint="eastAsia" w:ascii="仿宋_GB2312" w:hAnsi="Verdana" w:eastAsia="仿宋_GB2312" w:cs="宋体"/>
          <w:color w:val="333333"/>
          <w:kern w:val="0"/>
          <w:sz w:val="32"/>
          <w:szCs w:val="32"/>
          <w:shd w:val="clear" w:color="auto" w:fill="FFFFFF"/>
        </w:rPr>
        <w:t>从源头上控制了“三公”经费的支出，提高了财政资金的使用效率，打造了高效、廉洁、节俭、务实的机关。</w:t>
      </w:r>
    </w:p>
    <w:p>
      <w:pPr>
        <w:widowControl/>
        <w:shd w:val="clear" w:color="auto" w:fill="FFFFFF"/>
        <w:spacing w:line="560" w:lineRule="atLeast"/>
        <w:ind w:firstLine="645"/>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w:t>
      </w:r>
      <w:r>
        <w:rPr>
          <w:rFonts w:hint="eastAsia" w:ascii="仿宋_GB2312" w:hAnsi="Verdana" w:eastAsia="仿宋_GB2312" w:cs="宋体"/>
          <w:color w:val="000000"/>
          <w:kern w:val="0"/>
          <w:sz w:val="32"/>
          <w:szCs w:val="32"/>
        </w:rPr>
        <w:t>农技推广服务站</w:t>
      </w:r>
      <w:r>
        <w:rPr>
          <w:rFonts w:hint="eastAsia" w:ascii="仿宋_GB2312" w:hAnsi="Verdana" w:eastAsia="仿宋_GB2312" w:cs="宋体"/>
          <w:color w:val="333333"/>
          <w:kern w:val="0"/>
          <w:sz w:val="32"/>
          <w:szCs w:val="32"/>
        </w:rPr>
        <w:t>“三公”经费总数未超支，</w:t>
      </w:r>
      <w:r>
        <w:rPr>
          <w:rFonts w:hint="eastAsia" w:ascii="仿宋_GB2312" w:hAnsi="Verdana" w:eastAsia="仿宋_GB2312" w:cs="宋体"/>
          <w:color w:val="000000"/>
          <w:kern w:val="0"/>
          <w:sz w:val="32"/>
          <w:szCs w:val="32"/>
          <w:lang w:eastAsia="zh-CN"/>
        </w:rPr>
        <w:t>2019</w:t>
      </w:r>
      <w:r>
        <w:rPr>
          <w:rFonts w:hint="eastAsia" w:ascii="仿宋_GB2312" w:hAnsi="Verdana" w:eastAsia="仿宋_GB2312" w:cs="宋体"/>
          <w:color w:val="000000"/>
          <w:kern w:val="0"/>
          <w:sz w:val="32"/>
          <w:szCs w:val="32"/>
        </w:rPr>
        <w:t>年公务接待费</w:t>
      </w:r>
      <w:r>
        <w:rPr>
          <w:rFonts w:hint="eastAsia" w:ascii="仿宋_GB2312" w:hAnsi="Verdana" w:eastAsia="仿宋_GB2312" w:cs="宋体"/>
          <w:color w:val="333333"/>
          <w:kern w:val="0"/>
          <w:sz w:val="32"/>
          <w:szCs w:val="32"/>
        </w:rPr>
        <w:t>0万元与</w:t>
      </w:r>
      <w:r>
        <w:rPr>
          <w:rFonts w:hint="eastAsia" w:ascii="仿宋_GB2312" w:hAnsi="Verdana" w:eastAsia="仿宋_GB2312" w:cs="宋体"/>
          <w:color w:val="333333"/>
          <w:kern w:val="0"/>
          <w:sz w:val="32"/>
          <w:szCs w:val="32"/>
          <w:lang w:eastAsia="zh-CN"/>
        </w:rPr>
        <w:t>2018</w:t>
      </w:r>
      <w:r>
        <w:rPr>
          <w:rFonts w:hint="eastAsia" w:ascii="仿宋_GB2312" w:hAnsi="Verdana" w:eastAsia="仿宋_GB2312" w:cs="宋体"/>
          <w:color w:val="333333"/>
          <w:kern w:val="0"/>
          <w:sz w:val="32"/>
          <w:szCs w:val="32"/>
        </w:rPr>
        <w:t>年相比减少</w:t>
      </w:r>
      <w:r>
        <w:rPr>
          <w:rFonts w:hint="eastAsia" w:ascii="仿宋_GB2312" w:hAnsi="Verdana" w:eastAsia="仿宋_GB2312" w:cs="宋体"/>
          <w:color w:val="333333"/>
          <w:kern w:val="0"/>
          <w:sz w:val="32"/>
          <w:szCs w:val="32"/>
          <w:lang w:val="en-US" w:eastAsia="zh-CN"/>
        </w:rPr>
        <w:t>0</w:t>
      </w:r>
      <w:r>
        <w:rPr>
          <w:rFonts w:hint="eastAsia" w:ascii="仿宋_GB2312" w:hAnsi="Verdana" w:eastAsia="仿宋_GB2312" w:cs="宋体"/>
          <w:color w:val="333333"/>
          <w:kern w:val="0"/>
          <w:sz w:val="32"/>
          <w:szCs w:val="32"/>
        </w:rPr>
        <w:t>万元；公务用车运行及维护费0万元与</w:t>
      </w:r>
      <w:r>
        <w:rPr>
          <w:rFonts w:hint="eastAsia" w:ascii="仿宋_GB2312" w:hAnsi="Verdana" w:eastAsia="仿宋_GB2312" w:cs="宋体"/>
          <w:color w:val="333333"/>
          <w:kern w:val="0"/>
          <w:sz w:val="32"/>
          <w:szCs w:val="32"/>
          <w:lang w:eastAsia="zh-CN"/>
        </w:rPr>
        <w:t>2018</w:t>
      </w:r>
      <w:r>
        <w:rPr>
          <w:rFonts w:hint="eastAsia" w:ascii="仿宋_GB2312" w:hAnsi="Verdana" w:eastAsia="仿宋_GB2312" w:cs="宋体"/>
          <w:color w:val="333333"/>
          <w:kern w:val="0"/>
          <w:sz w:val="32"/>
          <w:szCs w:val="32"/>
        </w:rPr>
        <w:t>年相比减少</w:t>
      </w:r>
      <w:r>
        <w:rPr>
          <w:rFonts w:hint="eastAsia" w:ascii="仿宋_GB2312" w:hAnsi="Verdana" w:eastAsia="仿宋_GB2312" w:cs="宋体"/>
          <w:color w:val="333333"/>
          <w:kern w:val="0"/>
          <w:sz w:val="32"/>
          <w:szCs w:val="32"/>
          <w:lang w:val="en-US" w:eastAsia="zh-CN"/>
        </w:rPr>
        <w:t>0</w:t>
      </w:r>
      <w:r>
        <w:rPr>
          <w:rFonts w:hint="eastAsia" w:ascii="仿宋_GB2312" w:hAnsi="Verdana" w:eastAsia="仿宋_GB2312" w:cs="宋体"/>
          <w:color w:val="333333"/>
          <w:kern w:val="0"/>
          <w:sz w:val="32"/>
          <w:szCs w:val="32"/>
        </w:rPr>
        <w:t>万元。</w:t>
      </w:r>
    </w:p>
    <w:p>
      <w:pPr>
        <w:widowControl/>
        <w:shd w:val="clear" w:color="auto" w:fill="FFFFFF"/>
        <w:spacing w:line="560" w:lineRule="atLeast"/>
        <w:ind w:firstLine="643"/>
        <w:jc w:val="left"/>
        <w:rPr>
          <w:rFonts w:ascii="Verdana" w:hAnsi="Verdana" w:eastAsia="宋体" w:cs="宋体"/>
          <w:color w:val="333333"/>
          <w:kern w:val="0"/>
          <w:sz w:val="24"/>
          <w:szCs w:val="24"/>
        </w:rPr>
      </w:pPr>
      <w:r>
        <w:rPr>
          <w:rFonts w:hint="eastAsia" w:ascii="仿宋_GB2312" w:hAnsi="Verdana" w:eastAsia="仿宋_GB2312" w:cs="宋体"/>
          <w:b/>
          <w:bCs/>
          <w:color w:val="000000"/>
          <w:kern w:val="0"/>
          <w:sz w:val="32"/>
          <w:szCs w:val="32"/>
        </w:rPr>
        <w:t>主要做法：</w:t>
      </w:r>
    </w:p>
    <w:p>
      <w:pPr>
        <w:widowControl/>
        <w:shd w:val="clear" w:color="auto" w:fill="FFFFFF"/>
        <w:spacing w:line="560" w:lineRule="atLeast"/>
        <w:ind w:firstLine="645"/>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为在做好公务接待和公务用车工作的同时，不违背中央、自治区、市委关于厉行节约的各项规定，我单位形成了一套行之有效的工作方法，具体如下：</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1.一切公务接待和公务用车工作都需提前制定计划、方案，且在实施过程中不得随意更改。如若因特殊原因确需更改，必须请示主要领导，经同意后方可实施。</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2.具体接待和公务用车方案由分管领导视工作需要提出，主要领导把</w:t>
      </w:r>
      <w:r>
        <w:rPr>
          <w:rFonts w:hint="eastAsia" w:ascii="仿宋_GB2312" w:hAnsi="Verdana" w:eastAsia="仿宋_GB2312" w:cs="宋体"/>
          <w:color w:val="333333"/>
          <w:kern w:val="0"/>
          <w:sz w:val="32"/>
          <w:szCs w:val="32"/>
        </w:rPr>
        <w:t>关。如遇大型接待则必须上会研究，会议通过后方可实施。</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3.接待和公务用车工作计划制定以“不违规、不超标、不浪费”为指导精神，杜绝浪费、互相吃请、公车私用等现象。</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000000"/>
          <w:kern w:val="0"/>
          <w:sz w:val="32"/>
          <w:szCs w:val="32"/>
        </w:rPr>
        <w:t>4.绝对不搞“非必要”接待，做到“必要接待从简、非必要接待不做”厉行勤俭节约之风。</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000000"/>
          <w:kern w:val="0"/>
          <w:sz w:val="32"/>
          <w:szCs w:val="32"/>
        </w:rPr>
        <w:t> </w:t>
      </w:r>
      <w:r>
        <w:rPr>
          <w:rFonts w:hint="eastAsia" w:ascii="MS Mincho" w:hAnsi="MS Mincho" w:eastAsia="MS Mincho" w:cs="MS Mincho"/>
          <w:color w:val="333333"/>
          <w:kern w:val="0"/>
          <w:sz w:val="36"/>
          <w:szCs w:val="36"/>
        </w:rPr>
        <w:t>       </w:t>
      </w:r>
      <w:r>
        <w:rPr>
          <w:rFonts w:hint="eastAsia" w:ascii="方正小标宋简体" w:hAnsi="Verdana" w:eastAsia="方正小标宋简体" w:cs="宋体"/>
          <w:color w:val="333333"/>
          <w:kern w:val="0"/>
          <w:sz w:val="36"/>
          <w:szCs w:val="36"/>
        </w:rPr>
        <w:t>农技推广站（部门）</w:t>
      </w:r>
      <w:r>
        <w:rPr>
          <w:rFonts w:hint="eastAsia" w:ascii="方正小标宋简体" w:hAnsi="Verdana" w:eastAsia="方正小标宋简体" w:cs="宋体"/>
          <w:color w:val="333333"/>
          <w:kern w:val="0"/>
          <w:sz w:val="36"/>
          <w:szCs w:val="36"/>
          <w:lang w:eastAsia="zh-CN"/>
        </w:rPr>
        <w:t>2019</w:t>
      </w:r>
      <w:r>
        <w:rPr>
          <w:rFonts w:hint="eastAsia" w:ascii="方正小标宋简体" w:hAnsi="Verdana" w:eastAsia="方正小标宋简体" w:cs="宋体"/>
          <w:color w:val="333333"/>
          <w:kern w:val="0"/>
          <w:sz w:val="36"/>
          <w:szCs w:val="36"/>
        </w:rPr>
        <w:t>年“三公”经费情况表</w:t>
      </w:r>
    </w:p>
    <w:p>
      <w:pPr>
        <w:widowControl/>
        <w:shd w:val="clear" w:color="auto" w:fill="FFFFFF"/>
        <w:spacing w:line="560" w:lineRule="atLeast"/>
        <w:ind w:right="120" w:firstLine="600"/>
        <w:jc w:val="left"/>
        <w:rPr>
          <w:rFonts w:ascii="Verdana" w:hAnsi="Verdana" w:eastAsia="宋体" w:cs="宋体"/>
          <w:color w:val="333333"/>
          <w:kern w:val="0"/>
          <w:sz w:val="24"/>
          <w:szCs w:val="24"/>
        </w:rPr>
      </w:pPr>
      <w:r>
        <w:rPr>
          <w:rFonts w:hint="eastAsia" w:ascii="宋体" w:hAnsi="宋体" w:eastAsia="宋体" w:cs="宋体"/>
          <w:color w:val="333333"/>
          <w:kern w:val="0"/>
          <w:sz w:val="28"/>
          <w:szCs w:val="28"/>
        </w:rPr>
        <w:t>单位：万元</w:t>
      </w:r>
    </w:p>
    <w:tbl>
      <w:tblPr>
        <w:tblStyle w:val="3"/>
        <w:tblW w:w="8969" w:type="dxa"/>
        <w:tblInd w:w="0" w:type="dxa"/>
        <w:tblLayout w:type="fixed"/>
        <w:tblCellMar>
          <w:top w:w="15" w:type="dxa"/>
          <w:left w:w="15" w:type="dxa"/>
          <w:bottom w:w="15" w:type="dxa"/>
          <w:right w:w="15" w:type="dxa"/>
        </w:tblCellMar>
      </w:tblPr>
      <w:tblGrid>
        <w:gridCol w:w="4160"/>
        <w:gridCol w:w="1417"/>
        <w:gridCol w:w="1549"/>
        <w:gridCol w:w="1843"/>
      </w:tblGrid>
      <w:tr>
        <w:tblPrEx>
          <w:tblLayout w:type="fixed"/>
          <w:tblCellMar>
            <w:top w:w="15" w:type="dxa"/>
            <w:left w:w="15" w:type="dxa"/>
            <w:bottom w:w="15" w:type="dxa"/>
            <w:right w:w="15" w:type="dxa"/>
          </w:tblCellMar>
        </w:tblPrEx>
        <w:trPr>
          <w:trHeight w:val="567" w:hRule="atLeast"/>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项目</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预算数</w:t>
            </w:r>
          </w:p>
        </w:tc>
        <w:tc>
          <w:tcPr>
            <w:tcW w:w="15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决算数</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备注</w:t>
            </w:r>
          </w:p>
        </w:tc>
      </w:tr>
      <w:tr>
        <w:tblPrEx>
          <w:tblLayout w:type="fixed"/>
          <w:tblCellMar>
            <w:top w:w="15" w:type="dxa"/>
            <w:left w:w="15" w:type="dxa"/>
            <w:bottom w:w="15" w:type="dxa"/>
            <w:right w:w="15" w:type="dxa"/>
          </w:tblCellMar>
        </w:tblPrEx>
        <w:trPr>
          <w:trHeight w:val="567" w:hRule="atLeast"/>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合计</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1.30</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0</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　</w:t>
            </w:r>
          </w:p>
        </w:tc>
      </w:tr>
      <w:tr>
        <w:tblPrEx>
          <w:tblLayout w:type="fixed"/>
          <w:tblCellMar>
            <w:top w:w="15" w:type="dxa"/>
            <w:left w:w="15" w:type="dxa"/>
            <w:bottom w:w="15" w:type="dxa"/>
            <w:right w:w="15" w:type="dxa"/>
          </w:tblCellMar>
        </w:tblPrEx>
        <w:trPr>
          <w:trHeight w:val="567" w:hRule="atLeast"/>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1.因公出国（境）费</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MS Mincho" w:hAnsi="MS Mincho" w:eastAsia="MS Mincho" w:cs="MS Mincho"/>
                <w:kern w:val="0"/>
                <w:sz w:val="28"/>
                <w:szCs w:val="28"/>
              </w:rPr>
              <w:t> </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MS Mincho" w:hAnsi="MS Mincho" w:eastAsia="MS Mincho" w:cs="MS Mincho"/>
                <w:kern w:val="0"/>
                <w:sz w:val="28"/>
                <w:szCs w:val="28"/>
              </w:rPr>
              <w:t> </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　</w:t>
            </w:r>
          </w:p>
        </w:tc>
      </w:tr>
      <w:tr>
        <w:tblPrEx>
          <w:tblLayout w:type="fixed"/>
          <w:tblCellMar>
            <w:top w:w="15" w:type="dxa"/>
            <w:left w:w="15" w:type="dxa"/>
            <w:bottom w:w="15" w:type="dxa"/>
            <w:right w:w="15" w:type="dxa"/>
          </w:tblCellMar>
        </w:tblPrEx>
        <w:trPr>
          <w:trHeight w:val="567" w:hRule="atLeast"/>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2.公务接待费</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0.78</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0</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　</w:t>
            </w:r>
          </w:p>
        </w:tc>
      </w:tr>
      <w:tr>
        <w:tblPrEx>
          <w:tblLayout w:type="fixed"/>
          <w:tblCellMar>
            <w:top w:w="15" w:type="dxa"/>
            <w:left w:w="15" w:type="dxa"/>
            <w:bottom w:w="15" w:type="dxa"/>
            <w:right w:w="15" w:type="dxa"/>
          </w:tblCellMar>
        </w:tblPrEx>
        <w:trPr>
          <w:trHeight w:val="567" w:hRule="atLeast"/>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3.公务用车经费</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0.52</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0</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　</w:t>
            </w:r>
          </w:p>
        </w:tc>
      </w:tr>
      <w:tr>
        <w:tblPrEx>
          <w:tblLayout w:type="fixed"/>
          <w:tblCellMar>
            <w:top w:w="15" w:type="dxa"/>
            <w:left w:w="15" w:type="dxa"/>
            <w:bottom w:w="15" w:type="dxa"/>
            <w:right w:w="15" w:type="dxa"/>
          </w:tblCellMar>
        </w:tblPrEx>
        <w:trPr>
          <w:trHeight w:val="567" w:hRule="atLeast"/>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其中：（1）公务用车运行维护费</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0.52</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0</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　</w:t>
            </w:r>
          </w:p>
        </w:tc>
      </w:tr>
      <w:tr>
        <w:tblPrEx>
          <w:tblLayout w:type="fixed"/>
          <w:tblCellMar>
            <w:top w:w="15" w:type="dxa"/>
            <w:left w:w="15" w:type="dxa"/>
            <w:bottom w:w="15" w:type="dxa"/>
            <w:right w:w="15" w:type="dxa"/>
          </w:tblCellMar>
        </w:tblPrEx>
        <w:trPr>
          <w:trHeight w:val="567" w:hRule="atLeast"/>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MS Mincho" w:hAnsi="MS Mincho" w:eastAsia="MS Mincho" w:cs="MS Mincho"/>
                <w:kern w:val="0"/>
                <w:sz w:val="28"/>
                <w:szCs w:val="28"/>
              </w:rPr>
              <w:t>      </w:t>
            </w:r>
            <w:r>
              <w:rPr>
                <w:rFonts w:hint="eastAsia" w:ascii="宋体" w:hAnsi="宋体" w:eastAsia="宋体" w:cs="宋体"/>
                <w:kern w:val="0"/>
                <w:sz w:val="28"/>
                <w:szCs w:val="28"/>
              </w:rPr>
              <w:t>（2）公务用车购置</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宋体" w:hAnsi="宋体" w:eastAsia="宋体" w:cs="宋体"/>
                <w:kern w:val="0"/>
                <w:sz w:val="24"/>
                <w:szCs w:val="24"/>
              </w:rPr>
            </w:pPr>
            <w:r>
              <w:rPr>
                <w:rFonts w:hint="eastAsia" w:ascii="MS Mincho" w:hAnsi="MS Mincho" w:eastAsia="MS Mincho" w:cs="MS Mincho"/>
                <w:kern w:val="0"/>
                <w:sz w:val="28"/>
                <w:szCs w:val="28"/>
              </w:rPr>
              <w:t> </w:t>
            </w:r>
          </w:p>
        </w:tc>
        <w:tc>
          <w:tcPr>
            <w:tcW w:w="15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MS Mincho" w:hAnsi="MS Mincho" w:eastAsia="MS Mincho" w:cs="MS Mincho"/>
                <w:kern w:val="0"/>
                <w:sz w:val="28"/>
                <w:szCs w:val="28"/>
              </w:rPr>
              <w:t> </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宋体" w:hAnsi="宋体" w:eastAsia="宋体" w:cs="宋体"/>
                <w:kern w:val="0"/>
                <w:sz w:val="24"/>
                <w:szCs w:val="24"/>
              </w:rPr>
            </w:pPr>
            <w:r>
              <w:rPr>
                <w:rFonts w:hint="eastAsia" w:ascii="宋体" w:hAnsi="宋体" w:eastAsia="宋体" w:cs="宋体"/>
                <w:kern w:val="0"/>
                <w:sz w:val="28"/>
                <w:szCs w:val="28"/>
              </w:rPr>
              <w:t>　</w:t>
            </w:r>
          </w:p>
        </w:tc>
      </w:tr>
    </w:tbl>
    <w:p>
      <w:pPr>
        <w:widowControl/>
        <w:shd w:val="clear" w:color="auto" w:fill="FFFFFF"/>
        <w:spacing w:line="560" w:lineRule="atLeast"/>
        <w:ind w:firstLine="627"/>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说明1.介绍“三公”经费总体情况，对分项支出具体情况、与上年决算对比增减变化情况及原因作详细说明。2.应对因公出国（境）团组数及人数，公务用车购置数及保有量，国内公务接待的批次、人数等情况做详细说明)。</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六、</w:t>
      </w:r>
      <w:r>
        <w:rPr>
          <w:rFonts w:hint="eastAsia" w:ascii="黑体" w:hAnsi="黑体" w:eastAsia="黑体" w:cs="宋体"/>
          <w:color w:val="333333"/>
          <w:kern w:val="0"/>
          <w:sz w:val="32"/>
          <w:szCs w:val="32"/>
          <w:lang w:eastAsia="zh-CN"/>
        </w:rPr>
        <w:t>2019</w:t>
      </w:r>
      <w:r>
        <w:rPr>
          <w:rFonts w:hint="eastAsia" w:ascii="黑体" w:hAnsi="黑体" w:eastAsia="黑体" w:cs="宋体"/>
          <w:color w:val="333333"/>
          <w:kern w:val="0"/>
          <w:sz w:val="32"/>
          <w:szCs w:val="32"/>
        </w:rPr>
        <w:t>年度机关运行情况说明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（一）</w:t>
      </w:r>
      <w:r>
        <w:rPr>
          <w:rFonts w:hint="eastAsia" w:ascii="仿宋" w:hAnsi="仿宋" w:eastAsia="仿宋" w:cs="宋体"/>
          <w:color w:val="333333"/>
          <w:kern w:val="0"/>
          <w:sz w:val="32"/>
          <w:szCs w:val="32"/>
          <w:lang w:eastAsia="zh-CN"/>
        </w:rPr>
        <w:t>2019</w:t>
      </w:r>
      <w:r>
        <w:rPr>
          <w:rFonts w:hint="eastAsia" w:ascii="仿宋" w:hAnsi="仿宋" w:eastAsia="仿宋" w:cs="宋体"/>
          <w:color w:val="333333"/>
          <w:kern w:val="0"/>
          <w:sz w:val="32"/>
          <w:szCs w:val="32"/>
        </w:rPr>
        <w:t>年本部门（含下属单位）履行一般事业管理职能、维持事业运行，用一般公用预算安排的事业经费，合计</w:t>
      </w:r>
      <w:r>
        <w:rPr>
          <w:rFonts w:hint="eastAsia" w:ascii="宋体" w:hAnsi="宋体" w:eastAsia="宋体" w:cs="宋体"/>
          <w:color w:val="000000"/>
          <w:kern w:val="0"/>
          <w:sz w:val="32"/>
          <w:szCs w:val="32"/>
          <w:lang w:val="en-US" w:eastAsia="zh-CN"/>
        </w:rPr>
        <w:t>172.28</w:t>
      </w:r>
      <w:r>
        <w:rPr>
          <w:rFonts w:hint="eastAsia" w:ascii="仿宋" w:hAnsi="仿宋" w:eastAsia="仿宋" w:cs="宋体"/>
          <w:color w:val="333333"/>
          <w:kern w:val="0"/>
          <w:sz w:val="32"/>
          <w:szCs w:val="32"/>
        </w:rPr>
        <w:t>万元。其中基本支出</w:t>
      </w:r>
      <w:r>
        <w:rPr>
          <w:rFonts w:hint="eastAsia" w:ascii="宋体" w:hAnsi="宋体" w:eastAsia="宋体" w:cs="宋体"/>
          <w:color w:val="000000"/>
          <w:kern w:val="0"/>
          <w:sz w:val="32"/>
          <w:szCs w:val="32"/>
          <w:lang w:val="en-US" w:eastAsia="zh-CN"/>
        </w:rPr>
        <w:t>172.28</w:t>
      </w:r>
      <w:r>
        <w:rPr>
          <w:rFonts w:hint="eastAsia" w:ascii="仿宋" w:hAnsi="仿宋" w:eastAsia="仿宋" w:cs="宋体"/>
          <w:color w:val="333333"/>
          <w:kern w:val="0"/>
          <w:sz w:val="32"/>
          <w:szCs w:val="32"/>
        </w:rPr>
        <w:t>万元，项目支出0万元。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 w:hAnsi="仿宋" w:eastAsia="仿宋" w:cs="宋体"/>
          <w:color w:val="333333"/>
          <w:kern w:val="0"/>
          <w:sz w:val="32"/>
          <w:szCs w:val="32"/>
        </w:rPr>
        <w:t>（二）经费预算的内容；经费由基本支出和项目两部分组成；基本支出，包括两部分；一部分是人员经费，具体包括工资、津贴及奖金、医疗费、住房补贴等；二是公用经费，具体包括办公及印刷费、水电费、邮电费、交通费、差旅费、会议费、福利费、物业管理费、日常维修费、一般购置费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七、政府采购情况说明</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年巴宜区农科所政府采购金额为0元.</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八、国有资产占有使用情况</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截止</w:t>
      </w:r>
      <w:r>
        <w:rPr>
          <w:rFonts w:hint="eastAsia" w:ascii="仿宋_GB2312" w:hAnsi="Verdana" w:eastAsia="仿宋_GB2312" w:cs="宋体"/>
          <w:color w:val="333333"/>
          <w:kern w:val="0"/>
          <w:sz w:val="32"/>
          <w:szCs w:val="32"/>
          <w:lang w:eastAsia="zh-CN"/>
        </w:rPr>
        <w:t>2019</w:t>
      </w:r>
      <w:r>
        <w:rPr>
          <w:rFonts w:hint="eastAsia" w:ascii="仿宋_GB2312" w:hAnsi="Verdana" w:eastAsia="仿宋_GB2312" w:cs="宋体"/>
          <w:color w:val="333333"/>
          <w:kern w:val="0"/>
          <w:sz w:val="32"/>
          <w:szCs w:val="32"/>
        </w:rPr>
        <w:t>年12月31日，巴宜区农科所共有车辆1辆，其中一般公务用车1辆。单位价值50万元以上通用设备0台（套）。</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黑体" w:hAnsi="黑体" w:eastAsia="黑体" w:cs="宋体"/>
          <w:color w:val="333333"/>
          <w:kern w:val="0"/>
          <w:sz w:val="32"/>
          <w:szCs w:val="32"/>
        </w:rPr>
        <w:t>九、重点、重大项目信息</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预算绩效情况说明，</w:t>
      </w:r>
      <w:r>
        <w:rPr>
          <w:rFonts w:hint="eastAsia" w:ascii="仿宋" w:hAnsi="仿宋" w:eastAsia="仿宋" w:cs="宋体"/>
          <w:color w:val="333333"/>
          <w:kern w:val="0"/>
          <w:sz w:val="32"/>
          <w:szCs w:val="32"/>
          <w:lang w:eastAsia="zh-CN"/>
        </w:rPr>
        <w:t>2019</w:t>
      </w:r>
      <w:r>
        <w:rPr>
          <w:rFonts w:hint="eastAsia" w:ascii="仿宋" w:hAnsi="仿宋" w:eastAsia="仿宋" w:cs="宋体"/>
          <w:color w:val="333333"/>
          <w:kern w:val="0"/>
          <w:sz w:val="32"/>
          <w:szCs w:val="32"/>
        </w:rPr>
        <w:t>年巴宜区农科所实施预算绩效项目0个，涉及当年一般公共预算拨款支出0万元。</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p>
    <w:p>
      <w:pPr>
        <w:widowControl/>
        <w:shd w:val="clear" w:color="auto" w:fill="FFFFFF"/>
        <w:spacing w:line="560" w:lineRule="atLeast"/>
        <w:ind w:firstLine="210"/>
        <w:jc w:val="left"/>
        <w:rPr>
          <w:rFonts w:ascii="Verdana" w:hAnsi="Verdana" w:eastAsia="宋体" w:cs="宋体"/>
          <w:color w:val="333333"/>
          <w:kern w:val="0"/>
          <w:sz w:val="24"/>
          <w:szCs w:val="24"/>
        </w:rPr>
      </w:pPr>
      <w:r>
        <w:rPr>
          <w:rFonts w:hint="eastAsia" w:ascii="MS Mincho" w:hAnsi="MS Mincho" w:eastAsia="MS Mincho" w:cs="MS Mincho"/>
          <w:color w:val="000000"/>
          <w:kern w:val="0"/>
          <w:sz w:val="52"/>
          <w:szCs w:val="52"/>
        </w:rPr>
        <w:t> </w:t>
      </w:r>
      <w:r>
        <w:rPr>
          <w:rFonts w:hint="eastAsia" w:ascii="黑体" w:hAnsi="黑体" w:eastAsia="黑体" w:cs="宋体"/>
          <w:color w:val="000000"/>
          <w:kern w:val="0"/>
          <w:sz w:val="52"/>
          <w:szCs w:val="52"/>
        </w:rPr>
        <w:t>第四部分</w:t>
      </w:r>
      <w:r>
        <w:rPr>
          <w:rFonts w:hint="eastAsia" w:ascii="黑体" w:hAnsi="黑体" w:eastAsia="黑体" w:cs="宋体"/>
          <w:color w:val="333333"/>
          <w:kern w:val="0"/>
          <w:sz w:val="52"/>
          <w:szCs w:val="52"/>
        </w:rPr>
        <w:t>名词解释</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一 、</w:t>
      </w:r>
      <w:r>
        <w:rPr>
          <w:rFonts w:hint="eastAsia" w:ascii="仿宋_GB2312" w:hAnsi="Verdana" w:eastAsia="仿宋_GB2312" w:cs="宋体"/>
          <w:b/>
          <w:bCs/>
          <w:color w:val="222222"/>
          <w:kern w:val="0"/>
          <w:sz w:val="32"/>
          <w:szCs w:val="32"/>
        </w:rPr>
        <w:t>财政拨款</w:t>
      </w:r>
      <w:r>
        <w:rPr>
          <w:rFonts w:hint="eastAsia" w:ascii="仿宋_GB2312" w:hAnsi="Verdana" w:eastAsia="仿宋_GB2312" w:cs="宋体"/>
          <w:color w:val="222222"/>
          <w:kern w:val="0"/>
          <w:sz w:val="32"/>
          <w:szCs w:val="32"/>
        </w:rPr>
        <w:t>，是指县级财政当年拨付的资金。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w:t>
      </w:r>
      <w:r>
        <w:rPr>
          <w:rFonts w:hint="eastAsia" w:ascii="仿宋_GB2312" w:hAnsi="Verdana" w:eastAsia="仿宋_GB2312" w:cs="宋体"/>
          <w:b/>
          <w:bCs/>
          <w:color w:val="222222"/>
          <w:kern w:val="0"/>
          <w:sz w:val="32"/>
          <w:szCs w:val="32"/>
        </w:rPr>
        <w:t>事业收入</w:t>
      </w:r>
      <w:r>
        <w:rPr>
          <w:rFonts w:hint="eastAsia" w:ascii="仿宋_GB2312" w:hAnsi="Verdana" w:eastAsia="仿宋_GB2312" w:cs="宋体"/>
          <w:color w:val="222222"/>
          <w:kern w:val="0"/>
          <w:sz w:val="32"/>
          <w:szCs w:val="32"/>
        </w:rPr>
        <w:t>，是指事业单位开展业务活动取得的收入。</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三、</w:t>
      </w:r>
      <w:r>
        <w:rPr>
          <w:rFonts w:hint="eastAsia" w:ascii="仿宋_GB2312" w:hAnsi="Verdana" w:eastAsia="仿宋_GB2312" w:cs="宋体"/>
          <w:b/>
          <w:bCs/>
          <w:color w:val="222222"/>
          <w:kern w:val="0"/>
          <w:sz w:val="32"/>
          <w:szCs w:val="32"/>
        </w:rPr>
        <w:t>上级补助收入</w:t>
      </w:r>
      <w:r>
        <w:rPr>
          <w:rFonts w:hint="eastAsia" w:ascii="仿宋_GB2312" w:hAnsi="Verdana" w:eastAsia="仿宋_GB2312" w:cs="宋体"/>
          <w:color w:val="222222"/>
          <w:kern w:val="0"/>
          <w:sz w:val="32"/>
          <w:szCs w:val="32"/>
        </w:rPr>
        <w:t>，指事业单位收到上级单位拨入的非财政补助资金。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四、</w:t>
      </w:r>
      <w:r>
        <w:rPr>
          <w:rFonts w:hint="eastAsia" w:ascii="仿宋_GB2312" w:hAnsi="Verdana" w:eastAsia="仿宋_GB2312" w:cs="宋体"/>
          <w:b/>
          <w:bCs/>
          <w:color w:val="222222"/>
          <w:kern w:val="0"/>
          <w:sz w:val="32"/>
          <w:szCs w:val="32"/>
        </w:rPr>
        <w:t>经营收入</w:t>
      </w:r>
      <w:r>
        <w:rPr>
          <w:rFonts w:hint="eastAsia" w:ascii="仿宋_GB2312" w:hAnsi="Verdana" w:eastAsia="仿宋_GB2312" w:cs="宋体"/>
          <w:color w:val="222222"/>
          <w:kern w:val="0"/>
          <w:sz w:val="32"/>
          <w:szCs w:val="32"/>
        </w:rPr>
        <w:t>，是指事业单位在业务活动之外开展非独立核算经营活动取得的收入。</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五、</w:t>
      </w:r>
      <w:r>
        <w:rPr>
          <w:rFonts w:hint="eastAsia" w:ascii="仿宋_GB2312" w:hAnsi="Verdana" w:eastAsia="仿宋_GB2312" w:cs="宋体"/>
          <w:b/>
          <w:bCs/>
          <w:color w:val="222222"/>
          <w:kern w:val="0"/>
          <w:sz w:val="32"/>
          <w:szCs w:val="32"/>
        </w:rPr>
        <w:t>附属单位缴款</w:t>
      </w:r>
      <w:r>
        <w:rPr>
          <w:rFonts w:hint="eastAsia" w:ascii="仿宋_GB2312" w:hAnsi="Verdana" w:eastAsia="仿宋_GB2312" w:cs="宋体"/>
          <w:color w:val="222222"/>
          <w:kern w:val="0"/>
          <w:sz w:val="32"/>
          <w:szCs w:val="32"/>
        </w:rPr>
        <w:t>，指事业单位收到附属单位按规定缴来的款项。</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六、</w:t>
      </w:r>
      <w:r>
        <w:rPr>
          <w:rFonts w:hint="eastAsia" w:ascii="仿宋_GB2312" w:hAnsi="Verdana" w:eastAsia="仿宋_GB2312" w:cs="宋体"/>
          <w:b/>
          <w:bCs/>
          <w:color w:val="222222"/>
          <w:kern w:val="0"/>
          <w:sz w:val="32"/>
          <w:szCs w:val="32"/>
        </w:rPr>
        <w:t>其他收入</w:t>
      </w:r>
      <w:r>
        <w:rPr>
          <w:rFonts w:hint="eastAsia" w:ascii="仿宋_GB2312" w:hAnsi="Verdana" w:eastAsia="仿宋_GB2312" w:cs="宋体"/>
          <w:color w:val="222222"/>
          <w:kern w:val="0"/>
          <w:sz w:val="32"/>
          <w:szCs w:val="32"/>
        </w:rPr>
        <w:t>，是指预算单位在“财政拨款、事业收入、经营收入”等之外取得的收入。</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七、</w:t>
      </w:r>
      <w:r>
        <w:rPr>
          <w:rFonts w:hint="eastAsia" w:ascii="仿宋_GB2312" w:hAnsi="Verdana" w:eastAsia="仿宋_GB2312" w:cs="宋体"/>
          <w:b/>
          <w:bCs/>
          <w:color w:val="222222"/>
          <w:kern w:val="0"/>
          <w:sz w:val="32"/>
          <w:szCs w:val="32"/>
        </w:rPr>
        <w:t>用事业基金弥补收支差额</w:t>
      </w:r>
      <w:r>
        <w:rPr>
          <w:rFonts w:hint="eastAsia" w:ascii="仿宋_GB2312" w:hAnsi="Verdana" w:eastAsia="仿宋_GB2312" w:cs="宋体"/>
          <w:color w:val="222222"/>
          <w:kern w:val="0"/>
          <w:sz w:val="32"/>
          <w:szCs w:val="32"/>
        </w:rPr>
        <w:t>，是指事业单位在当年的“财政拨款”、“事业收入”、“经营收入”和“其他收入”等不足以安排当年支出的情况下，使用以前年度积累的事业基金（即事业单位以前年度收支相抵后，按国家规定提取用于弥补以后年度收支差额的基金）弥补当年收支缺口的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八、</w:t>
      </w:r>
      <w:r>
        <w:rPr>
          <w:rFonts w:hint="eastAsia" w:ascii="仿宋_GB2312" w:hAnsi="Verdana" w:eastAsia="仿宋_GB2312" w:cs="宋体"/>
          <w:b/>
          <w:bCs/>
          <w:color w:val="222222"/>
          <w:kern w:val="0"/>
          <w:sz w:val="32"/>
          <w:szCs w:val="32"/>
        </w:rPr>
        <w:t>上年结转和结余</w:t>
      </w:r>
      <w:r>
        <w:rPr>
          <w:rFonts w:hint="eastAsia" w:ascii="仿宋_GB2312" w:hAnsi="Verdana" w:eastAsia="仿宋_GB2312" w:cs="宋体"/>
          <w:color w:val="222222"/>
          <w:kern w:val="0"/>
          <w:sz w:val="32"/>
          <w:szCs w:val="32"/>
        </w:rPr>
        <w:t>，是指以前年度支出预算因客观条件变化未执行完毕、结转到本年度按规定继续使用的资金，既包括财政拨款的结转和结余，也包括事业收入、经营收入和其他收入的结转和结余。</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九、</w:t>
      </w:r>
      <w:r>
        <w:rPr>
          <w:rFonts w:hint="eastAsia" w:ascii="仿宋_GB2312" w:hAnsi="Verdana" w:eastAsia="仿宋_GB2312" w:cs="宋体"/>
          <w:b/>
          <w:bCs/>
          <w:color w:val="222222"/>
          <w:kern w:val="0"/>
          <w:sz w:val="32"/>
          <w:szCs w:val="32"/>
        </w:rPr>
        <w:t>一般公共服务（类）支出</w:t>
      </w:r>
      <w:r>
        <w:rPr>
          <w:rFonts w:hint="eastAsia" w:ascii="仿宋_GB2312" w:hAnsi="Verdana" w:eastAsia="仿宋_GB2312" w:cs="宋体"/>
          <w:color w:val="222222"/>
          <w:kern w:val="0"/>
          <w:sz w:val="32"/>
          <w:szCs w:val="32"/>
        </w:rPr>
        <w:t>，指政府提供一般公共服务的支出。如财政局保障机构正常运转、开展财政管理活动所发生的基本支出和项目支出。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w:t>
      </w:r>
      <w:r>
        <w:rPr>
          <w:rFonts w:hint="eastAsia" w:ascii="仿宋_GB2312" w:hAnsi="Verdana" w:eastAsia="仿宋_GB2312" w:cs="宋体"/>
          <w:b/>
          <w:bCs/>
          <w:color w:val="222222"/>
          <w:kern w:val="0"/>
          <w:sz w:val="32"/>
          <w:szCs w:val="32"/>
        </w:rPr>
        <w:t>公共安全（类）支出</w:t>
      </w:r>
      <w:r>
        <w:rPr>
          <w:rFonts w:hint="eastAsia" w:ascii="仿宋_GB2312" w:hAnsi="Verdana" w:eastAsia="仿宋_GB2312" w:cs="宋体"/>
          <w:color w:val="222222"/>
          <w:kern w:val="0"/>
          <w:sz w:val="32"/>
          <w:szCs w:val="32"/>
        </w:rPr>
        <w:t>，指政府维护社会公共安全方面的支出。如司法局机关及所属单位保障机构正常运转、开展司法管理活动所发生的基本支出和项目支出。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十一、</w:t>
      </w:r>
      <w:r>
        <w:rPr>
          <w:rFonts w:hint="eastAsia" w:ascii="仿宋_GB2312" w:hAnsi="Verdana" w:eastAsia="仿宋_GB2312" w:cs="宋体"/>
          <w:b/>
          <w:bCs/>
          <w:color w:val="222222"/>
          <w:kern w:val="0"/>
          <w:sz w:val="32"/>
          <w:szCs w:val="32"/>
        </w:rPr>
        <w:t>教育(类)支出</w:t>
      </w:r>
      <w:r>
        <w:rPr>
          <w:rFonts w:hint="eastAsia" w:ascii="仿宋_GB2312" w:hAnsi="Verdana" w:eastAsia="仿宋_GB2312" w:cs="宋体"/>
          <w:color w:val="222222"/>
          <w:kern w:val="0"/>
          <w:sz w:val="32"/>
          <w:szCs w:val="32"/>
        </w:rPr>
        <w:t>,</w:t>
      </w:r>
      <w:r>
        <w:rPr>
          <w:rFonts w:hint="eastAsia" w:ascii="MS Mincho" w:hAnsi="MS Mincho" w:eastAsia="MS Mincho" w:cs="MS Mincho"/>
          <w:color w:val="222222"/>
          <w:kern w:val="0"/>
          <w:sz w:val="32"/>
          <w:szCs w:val="32"/>
        </w:rPr>
        <w:t> </w:t>
      </w:r>
      <w:r>
        <w:rPr>
          <w:rFonts w:hint="eastAsia" w:ascii="仿宋_GB2312" w:hAnsi="Verdana" w:eastAsia="仿宋_GB2312" w:cs="宋体"/>
          <w:color w:val="222222"/>
          <w:kern w:val="0"/>
          <w:sz w:val="32"/>
          <w:szCs w:val="32"/>
        </w:rPr>
        <w:t>指政府教育事务支出。包括教育管理事务、普通教育、职工教育、成人教育、广播电视教育、留学教育、特殊教育等。如县教育局及县属学校、直属教育事业单位保障机构正常运转、开展教育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十二、</w:t>
      </w:r>
      <w:r>
        <w:rPr>
          <w:rFonts w:hint="eastAsia" w:ascii="仿宋_GB2312" w:hAnsi="Verdana" w:eastAsia="仿宋_GB2312" w:cs="宋体"/>
          <w:b/>
          <w:bCs/>
          <w:color w:val="222222"/>
          <w:kern w:val="0"/>
          <w:sz w:val="32"/>
          <w:szCs w:val="32"/>
        </w:rPr>
        <w:t>科学技术(类)支出</w:t>
      </w:r>
      <w:r>
        <w:rPr>
          <w:rFonts w:hint="eastAsia" w:ascii="仿宋_GB2312" w:hAnsi="Verdana" w:eastAsia="仿宋_GB2312" w:cs="宋体"/>
          <w:color w:val="222222"/>
          <w:kern w:val="0"/>
          <w:sz w:val="32"/>
          <w:szCs w:val="32"/>
        </w:rPr>
        <w:t>,指科学技术方面的支出。包括科学技术管理事务、基础研究、应用研究、技术研究与开发、科技条件与服务、科学技术普及、开展国际重大科技合作、重大专项、转制科研机构、科技奖励等。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十三、</w:t>
      </w:r>
      <w:r>
        <w:rPr>
          <w:rFonts w:hint="eastAsia" w:ascii="仿宋_GB2312" w:hAnsi="Verdana" w:eastAsia="仿宋_GB2312" w:cs="宋体"/>
          <w:b/>
          <w:bCs/>
          <w:color w:val="222222"/>
          <w:kern w:val="0"/>
          <w:sz w:val="32"/>
          <w:szCs w:val="32"/>
        </w:rPr>
        <w:t>文化体育与传媒(类)支出</w:t>
      </w:r>
      <w:r>
        <w:rPr>
          <w:rFonts w:hint="eastAsia" w:ascii="仿宋_GB2312" w:hAnsi="Verdana" w:eastAsia="仿宋_GB2312" w:cs="宋体"/>
          <w:color w:val="222222"/>
          <w:kern w:val="0"/>
          <w:sz w:val="32"/>
          <w:szCs w:val="32"/>
        </w:rPr>
        <w:t>：指政府在文化、文物、体育、广播影视、新闻出版等方面的支出。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十四、</w:t>
      </w:r>
      <w:r>
        <w:rPr>
          <w:rFonts w:hint="eastAsia" w:ascii="仿宋_GB2312" w:hAnsi="Verdana" w:eastAsia="仿宋_GB2312" w:cs="宋体"/>
          <w:b/>
          <w:bCs/>
          <w:color w:val="222222"/>
          <w:kern w:val="0"/>
          <w:sz w:val="32"/>
          <w:szCs w:val="32"/>
        </w:rPr>
        <w:t>社会保障和就业（类）支出</w:t>
      </w:r>
      <w:r>
        <w:rPr>
          <w:rFonts w:hint="eastAsia" w:ascii="仿宋_GB2312" w:hAnsi="Verdana" w:eastAsia="仿宋_GB2312" w:cs="宋体"/>
          <w:color w:val="222222"/>
          <w:kern w:val="0"/>
          <w:sz w:val="32"/>
          <w:szCs w:val="32"/>
        </w:rPr>
        <w:t>,指政府在社会保障与就业方面的支出。包括社会保障与就业管理事务、民政管理事务、财政对社会保险基金补助、行政事业单位离退休、企业改革补助、就业补助、抚恤、退役安置、社会福利、残疾人事业、城县居民最低生活保障、自然灾害生活救助、红十字会事务等。如行政机关开支的离退休人员经费和离退休干部管理机构为离退休人员提供管理和服务所发生的工作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十五、</w:t>
      </w:r>
      <w:r>
        <w:rPr>
          <w:rFonts w:hint="eastAsia" w:ascii="仿宋_GB2312" w:hAnsi="Verdana" w:eastAsia="仿宋_GB2312" w:cs="宋体"/>
          <w:b/>
          <w:bCs/>
          <w:color w:val="222222"/>
          <w:kern w:val="0"/>
          <w:sz w:val="32"/>
          <w:szCs w:val="32"/>
        </w:rPr>
        <w:t>医疗卫生（类）支出</w:t>
      </w:r>
      <w:r>
        <w:rPr>
          <w:rFonts w:hint="eastAsia" w:ascii="仿宋_GB2312" w:hAnsi="Verdana" w:eastAsia="仿宋_GB2312" w:cs="宋体"/>
          <w:color w:val="222222"/>
          <w:kern w:val="0"/>
          <w:sz w:val="32"/>
          <w:szCs w:val="32"/>
        </w:rPr>
        <w:t>，指政府医疗卫生方面的支出。包括医疗卫生管理事务支出、公立医院、基层医疗卫生机构支出、公共卫生、医疗保障、中医药、食品和药品监督管理事务等。如卫生局及所属单位保障机构正常运转、开展医疗卫生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十六、</w:t>
      </w:r>
      <w:r>
        <w:rPr>
          <w:rFonts w:hint="eastAsia" w:ascii="仿宋_GB2312" w:hAnsi="Verdana" w:eastAsia="仿宋_GB2312" w:cs="宋体"/>
          <w:b/>
          <w:bCs/>
          <w:color w:val="222222"/>
          <w:kern w:val="0"/>
          <w:sz w:val="32"/>
          <w:szCs w:val="32"/>
        </w:rPr>
        <w:t>节能环保（类）支出</w:t>
      </w:r>
      <w:r>
        <w:rPr>
          <w:rFonts w:hint="eastAsia" w:ascii="仿宋_GB2312" w:hAnsi="Verdana" w:eastAsia="仿宋_GB2312" w:cs="宋体"/>
          <w:color w:val="222222"/>
          <w:kern w:val="0"/>
          <w:sz w:val="32"/>
          <w:szCs w:val="32"/>
        </w:rPr>
        <w:t>，指政府节能环保支出。包括环境保护管理事务支出、环境监测与监察支出、污染治理支出、自然生态保护支出、天然林保护工程支出、退耕还林支出、能源节约利用、污染减排、可再生能源和资源综合利用等支出。如环保局及所属单位保障机构正常运转、开展环境保护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十七、</w:t>
      </w:r>
      <w:r>
        <w:rPr>
          <w:rFonts w:hint="eastAsia" w:ascii="仿宋_GB2312" w:hAnsi="Verdana" w:eastAsia="仿宋_GB2312" w:cs="宋体"/>
          <w:b/>
          <w:bCs/>
          <w:color w:val="222222"/>
          <w:kern w:val="0"/>
          <w:sz w:val="32"/>
          <w:szCs w:val="32"/>
        </w:rPr>
        <w:t>城乡社区事务（类）支出</w:t>
      </w:r>
      <w:r>
        <w:rPr>
          <w:rFonts w:hint="eastAsia" w:ascii="仿宋_GB2312" w:hAnsi="Verdana" w:eastAsia="仿宋_GB2312" w:cs="宋体"/>
          <w:color w:val="222222"/>
          <w:kern w:val="0"/>
          <w:sz w:val="32"/>
          <w:szCs w:val="32"/>
        </w:rPr>
        <w:t>，指城乡社区事务支出</w:t>
      </w:r>
      <w:r>
        <w:rPr>
          <w:rFonts w:hint="eastAsia" w:ascii="仿宋_GB2312" w:hAnsi="Verdana" w:eastAsia="仿宋_GB2312" w:cs="宋体"/>
          <w:b/>
          <w:bCs/>
          <w:color w:val="222222"/>
          <w:kern w:val="0"/>
          <w:sz w:val="32"/>
          <w:szCs w:val="32"/>
        </w:rPr>
        <w:t>。</w:t>
      </w:r>
      <w:r>
        <w:rPr>
          <w:rFonts w:hint="eastAsia" w:ascii="仿宋_GB2312" w:hAnsi="Verdana" w:eastAsia="仿宋_GB2312" w:cs="宋体"/>
          <w:color w:val="222222"/>
          <w:kern w:val="0"/>
          <w:sz w:val="32"/>
          <w:szCs w:val="32"/>
        </w:rPr>
        <w:t>包括城乡社区管理事务、城乡社区规划与管理、城乡社区公共设施、城乡社区住宅、城乡社区环境卫生、建设县场管理与监督支出等。如国土局用新增建设用地有偿使用费安排的耕地开发、土地整理支出。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十八、</w:t>
      </w:r>
      <w:r>
        <w:rPr>
          <w:rFonts w:hint="eastAsia" w:ascii="仿宋_GB2312" w:hAnsi="Verdana" w:eastAsia="仿宋_GB2312" w:cs="宋体"/>
          <w:b/>
          <w:bCs/>
          <w:color w:val="222222"/>
          <w:kern w:val="0"/>
          <w:sz w:val="32"/>
          <w:szCs w:val="32"/>
        </w:rPr>
        <w:t>农林水事务（类）支出</w:t>
      </w:r>
      <w:r>
        <w:rPr>
          <w:rFonts w:hint="eastAsia" w:ascii="仿宋_GB2312" w:hAnsi="Verdana" w:eastAsia="仿宋_GB2312" w:cs="宋体"/>
          <w:color w:val="222222"/>
          <w:kern w:val="0"/>
          <w:sz w:val="32"/>
          <w:szCs w:val="32"/>
        </w:rPr>
        <w:t>，指农林水事务支出。包括农业支出、林业支出、水利支出、扶贫支出、农业综合开发支出等。如水利局及所属单位保障机构正常运转、开展水利管理活动所发生的基本支出和项目支出。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十九、</w:t>
      </w:r>
      <w:r>
        <w:rPr>
          <w:rFonts w:hint="eastAsia" w:ascii="仿宋_GB2312" w:hAnsi="Verdana" w:eastAsia="仿宋_GB2312" w:cs="宋体"/>
          <w:b/>
          <w:bCs/>
          <w:color w:val="222222"/>
          <w:kern w:val="0"/>
          <w:sz w:val="32"/>
          <w:szCs w:val="32"/>
        </w:rPr>
        <w:t>交通运输（类）支出</w:t>
      </w:r>
      <w:r>
        <w:rPr>
          <w:rFonts w:hint="eastAsia" w:ascii="仿宋_GB2312" w:hAnsi="Verdana" w:eastAsia="仿宋_GB2312" w:cs="宋体"/>
          <w:color w:val="222222"/>
          <w:kern w:val="0"/>
          <w:sz w:val="32"/>
          <w:szCs w:val="32"/>
        </w:rPr>
        <w:t>，指交通运输和邮政方面的支出。包括公路运输支出、水路运输支出、铁路运输支出、民用航空运输支出和邮政业支出。如水利局及所属单位开展交通运输管理活动所发生的项目支出。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w:t>
      </w:r>
      <w:r>
        <w:rPr>
          <w:rFonts w:hint="eastAsia" w:ascii="仿宋_GB2312" w:hAnsi="Verdana" w:eastAsia="仿宋_GB2312" w:cs="宋体"/>
          <w:b/>
          <w:bCs/>
          <w:color w:val="222222"/>
          <w:kern w:val="0"/>
          <w:sz w:val="32"/>
          <w:szCs w:val="32"/>
        </w:rPr>
        <w:t>资源勘探电力信息等事务（类）支出</w:t>
      </w:r>
      <w:r>
        <w:rPr>
          <w:rFonts w:hint="eastAsia" w:ascii="仿宋_GB2312" w:hAnsi="Verdana" w:eastAsia="仿宋_GB2312" w:cs="宋体"/>
          <w:color w:val="222222"/>
          <w:kern w:val="0"/>
          <w:sz w:val="32"/>
          <w:szCs w:val="32"/>
        </w:rPr>
        <w:t>，指资源勘探电力信息等事务支出。包括资源勘探支出、制造业支出、建筑业支出、电力监管支出、工业和信息产业监管支出、安全生产监管支出、国有资产监管支出、支持中小企业发展和管理支出等。如</w:t>
      </w:r>
      <w:r>
        <w:rPr>
          <w:rFonts w:hint="eastAsia" w:ascii="仿宋_GB2312" w:hAnsi="Verdana" w:eastAsia="仿宋_GB2312" w:cs="宋体"/>
          <w:color w:val="222222"/>
          <w:kern w:val="0"/>
          <w:sz w:val="32"/>
          <w:szCs w:val="32"/>
          <w:shd w:val="clear" w:color="auto" w:fill="FFFFFF"/>
        </w:rPr>
        <w:t>国资委机关（含监事会）所属单位履行职能、开展业务等所发生的基本支出和项目支出。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二十一、</w:t>
      </w:r>
      <w:r>
        <w:rPr>
          <w:rFonts w:hint="eastAsia" w:ascii="仿宋_GB2312" w:hAnsi="Verdana" w:eastAsia="仿宋_GB2312" w:cs="宋体"/>
          <w:b/>
          <w:bCs/>
          <w:color w:val="222222"/>
          <w:kern w:val="0"/>
          <w:sz w:val="32"/>
          <w:szCs w:val="32"/>
        </w:rPr>
        <w:t>商业服务业等事务（类）支出</w:t>
      </w:r>
      <w:r>
        <w:rPr>
          <w:rFonts w:hint="eastAsia" w:ascii="仿宋_GB2312" w:hAnsi="Verdana" w:eastAsia="仿宋_GB2312" w:cs="宋体"/>
          <w:color w:val="222222"/>
          <w:kern w:val="0"/>
          <w:sz w:val="32"/>
          <w:szCs w:val="32"/>
        </w:rPr>
        <w:t>，指商业服务业等事务支出。包括商业流通事务支出、旅游业管理与服务支出、涉外发展服务支出等。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二十二、</w:t>
      </w:r>
      <w:r>
        <w:rPr>
          <w:rFonts w:hint="eastAsia" w:ascii="仿宋_GB2312" w:hAnsi="Verdana" w:eastAsia="仿宋_GB2312" w:cs="宋体"/>
          <w:b/>
          <w:bCs/>
          <w:color w:val="222222"/>
          <w:kern w:val="0"/>
          <w:sz w:val="32"/>
          <w:szCs w:val="32"/>
        </w:rPr>
        <w:t>国土资源气象等事务（类）支出</w:t>
      </w:r>
      <w:r>
        <w:rPr>
          <w:rFonts w:hint="eastAsia" w:ascii="仿宋_GB2312" w:hAnsi="Verdana" w:eastAsia="仿宋_GB2312" w:cs="宋体"/>
          <w:color w:val="222222"/>
          <w:kern w:val="0"/>
          <w:sz w:val="32"/>
          <w:szCs w:val="32"/>
        </w:rPr>
        <w:t>，指国土资源、海洋、测绘、地震、气象等公益服务事业方面的支出。如国土局及所属单位保障机构正常运转、开展国土资源管理活动所发生的基本支出和项目支出。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二十三、</w:t>
      </w:r>
      <w:r>
        <w:rPr>
          <w:rFonts w:hint="eastAsia" w:ascii="仿宋_GB2312" w:hAnsi="Verdana" w:eastAsia="仿宋_GB2312" w:cs="宋体"/>
          <w:b/>
          <w:bCs/>
          <w:color w:val="222222"/>
          <w:kern w:val="0"/>
          <w:sz w:val="32"/>
          <w:szCs w:val="32"/>
        </w:rPr>
        <w:t>住房保障（类）支出</w:t>
      </w:r>
      <w:r>
        <w:rPr>
          <w:rFonts w:hint="eastAsia" w:ascii="仿宋_GB2312" w:hAnsi="Verdana" w:eastAsia="仿宋_GB2312" w:cs="宋体"/>
          <w:color w:val="222222"/>
          <w:kern w:val="0"/>
          <w:sz w:val="32"/>
          <w:szCs w:val="32"/>
        </w:rPr>
        <w:t>，指政府用于住房方面的支出。包括保障性安居工程支出、住房改革支出、城乡社区住宅支出等。如行政事业单位按照国家政策规定向职工发放住房公积金、提租补贴等。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二十四、</w:t>
      </w:r>
      <w:r>
        <w:rPr>
          <w:rFonts w:hint="eastAsia" w:ascii="仿宋_GB2312" w:hAnsi="Verdana" w:eastAsia="仿宋_GB2312" w:cs="宋体"/>
          <w:b/>
          <w:bCs/>
          <w:color w:val="222222"/>
          <w:kern w:val="0"/>
          <w:sz w:val="32"/>
          <w:szCs w:val="32"/>
        </w:rPr>
        <w:t>其他支出</w:t>
      </w:r>
      <w:r>
        <w:rPr>
          <w:rFonts w:hint="eastAsia" w:ascii="仿宋_GB2312" w:hAnsi="Verdana" w:eastAsia="仿宋_GB2312" w:cs="宋体"/>
          <w:color w:val="222222"/>
          <w:kern w:val="0"/>
          <w:sz w:val="32"/>
          <w:szCs w:val="32"/>
        </w:rPr>
        <w:t>，指除以上支出（类）以外的其他政府支出。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二十五、</w:t>
      </w:r>
      <w:r>
        <w:rPr>
          <w:rFonts w:hint="eastAsia" w:ascii="仿宋_GB2312" w:hAnsi="Verdana" w:eastAsia="仿宋_GB2312" w:cs="宋体"/>
          <w:b/>
          <w:bCs/>
          <w:color w:val="222222"/>
          <w:kern w:val="0"/>
          <w:sz w:val="32"/>
          <w:szCs w:val="32"/>
        </w:rPr>
        <w:t>结余分配</w:t>
      </w:r>
      <w:r>
        <w:rPr>
          <w:rFonts w:hint="eastAsia" w:ascii="仿宋_GB2312" w:hAnsi="Verdana" w:eastAsia="仿宋_GB2312" w:cs="宋体"/>
          <w:color w:val="222222"/>
          <w:kern w:val="0"/>
          <w:sz w:val="32"/>
          <w:szCs w:val="32"/>
        </w:rPr>
        <w:t>，是指事业单位按规定提取的职工福利基金、事业基金和缴纳的所得税，以及建设单位按规定应上缴的基本建设竣工项目结余资金。</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二十六、</w:t>
      </w:r>
      <w:r>
        <w:rPr>
          <w:rFonts w:hint="eastAsia" w:ascii="仿宋_GB2312" w:hAnsi="Verdana" w:eastAsia="仿宋_GB2312" w:cs="宋体"/>
          <w:b/>
          <w:bCs/>
          <w:color w:val="222222"/>
          <w:kern w:val="0"/>
          <w:sz w:val="32"/>
          <w:szCs w:val="32"/>
        </w:rPr>
        <w:t>年末结转和结余资金</w:t>
      </w:r>
      <w:r>
        <w:rPr>
          <w:rFonts w:hint="eastAsia" w:ascii="仿宋_GB2312" w:hAnsi="Verdana" w:eastAsia="仿宋_GB2312" w:cs="宋体"/>
          <w:color w:val="222222"/>
          <w:kern w:val="0"/>
          <w:sz w:val="32"/>
          <w:szCs w:val="32"/>
        </w:rPr>
        <w:t>，是指本年度或以前年度预算安排、因客观条件发生变化无法按原计划实施，需要延迟到以后年度继续使用的资金，既包括财政拨款的结转和结余，也包括事业收入、经营收入和其他收入的结转和结余</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二十七、</w:t>
      </w:r>
      <w:r>
        <w:rPr>
          <w:rFonts w:hint="eastAsia" w:ascii="仿宋_GB2312" w:hAnsi="Verdana" w:eastAsia="仿宋_GB2312" w:cs="宋体"/>
          <w:b/>
          <w:bCs/>
          <w:color w:val="222222"/>
          <w:kern w:val="0"/>
          <w:sz w:val="32"/>
          <w:szCs w:val="32"/>
        </w:rPr>
        <w:t>基本支出</w:t>
      </w:r>
      <w:r>
        <w:rPr>
          <w:rFonts w:hint="eastAsia" w:ascii="仿宋_GB2312" w:hAnsi="Verdana" w:eastAsia="仿宋_GB2312" w:cs="宋体"/>
          <w:color w:val="222222"/>
          <w:kern w:val="0"/>
          <w:sz w:val="32"/>
          <w:szCs w:val="32"/>
        </w:rPr>
        <w:t>，是指为保障机构正常运转、完成日常工作任务而发生的人员支出和公用支出。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二十八、</w:t>
      </w:r>
      <w:r>
        <w:rPr>
          <w:rFonts w:hint="eastAsia" w:ascii="仿宋_GB2312" w:hAnsi="Verdana" w:eastAsia="仿宋_GB2312" w:cs="宋体"/>
          <w:b/>
          <w:bCs/>
          <w:color w:val="222222"/>
          <w:kern w:val="0"/>
          <w:sz w:val="32"/>
          <w:szCs w:val="32"/>
        </w:rPr>
        <w:t>项目支出</w:t>
      </w:r>
      <w:r>
        <w:rPr>
          <w:rFonts w:hint="eastAsia" w:ascii="仿宋_GB2312" w:hAnsi="Verdana" w:eastAsia="仿宋_GB2312" w:cs="宋体"/>
          <w:color w:val="222222"/>
          <w:kern w:val="0"/>
          <w:sz w:val="32"/>
          <w:szCs w:val="32"/>
        </w:rPr>
        <w:t>，是指在基本支出之外为完成特定的行政工作任务或事业发展目标所发生的支出。</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二十九、</w:t>
      </w:r>
      <w:r>
        <w:rPr>
          <w:rFonts w:hint="eastAsia" w:ascii="仿宋_GB2312" w:hAnsi="Verdana" w:eastAsia="仿宋_GB2312" w:cs="宋体"/>
          <w:b/>
          <w:bCs/>
          <w:color w:val="333333"/>
          <w:kern w:val="0"/>
          <w:sz w:val="32"/>
          <w:szCs w:val="32"/>
        </w:rPr>
        <w:t>地方公共财政预算支出</w:t>
      </w:r>
      <w:r>
        <w:rPr>
          <w:rFonts w:hint="eastAsia" w:ascii="仿宋_GB2312" w:hAnsi="Verdana" w:eastAsia="仿宋_GB2312" w:cs="宋体"/>
          <w:color w:val="333333"/>
          <w:kern w:val="0"/>
          <w:sz w:val="32"/>
          <w:szCs w:val="32"/>
        </w:rPr>
        <w:t>，指按照现行中央政府与地方政府事权的划分，经省以下各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三十、</w:t>
      </w:r>
      <w:r>
        <w:rPr>
          <w:rFonts w:hint="eastAsia" w:ascii="仿宋_GB2312" w:hAnsi="Verdana" w:eastAsia="仿宋_GB2312" w:cs="宋体"/>
          <w:b/>
          <w:bCs/>
          <w:color w:val="333333"/>
          <w:kern w:val="0"/>
          <w:sz w:val="32"/>
          <w:szCs w:val="32"/>
        </w:rPr>
        <w:t>民生支出，</w:t>
      </w:r>
      <w:r>
        <w:rPr>
          <w:rFonts w:hint="eastAsia" w:ascii="仿宋_GB2312" w:hAnsi="Verdana" w:eastAsia="仿宋_GB2312" w:cs="宋体"/>
          <w:color w:val="333333"/>
          <w:kern w:val="0"/>
          <w:sz w:val="32"/>
          <w:szCs w:val="32"/>
        </w:rPr>
        <w:t>民生支出指财政支出中用于保障和改善民生方面的支出。包括教育、科学技术、文化体育与传媒、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三十一、</w:t>
      </w:r>
      <w:r>
        <w:rPr>
          <w:rFonts w:hint="eastAsia" w:ascii="仿宋_GB2312" w:hAnsi="Verdana" w:eastAsia="仿宋_GB2312" w:cs="宋体"/>
          <w:b/>
          <w:bCs/>
          <w:color w:val="333333"/>
          <w:kern w:val="0"/>
          <w:sz w:val="32"/>
          <w:szCs w:val="32"/>
        </w:rPr>
        <w:t>非税收入</w:t>
      </w:r>
      <w:r>
        <w:rPr>
          <w:rFonts w:hint="eastAsia" w:ascii="仿宋_GB2312" w:hAnsi="Verdana" w:eastAsia="仿宋_GB2312" w:cs="宋体"/>
          <w:color w:val="333333"/>
          <w:kern w:val="0"/>
          <w:sz w:val="32"/>
          <w:szCs w:val="32"/>
        </w:rPr>
        <w:t>，指由各级政府、国家机关、事业单位、代行政府职能的社会团体及其他组织，依法利用政府权力、政府信誉、国家资源、国有资产或提供特定公共服务征收、收取、提取、募集的除税收和政府债务以外的财政收入。</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仿宋_GB2312" w:hAnsi="Verdana" w:eastAsia="仿宋_GB2312" w:cs="宋体"/>
          <w:color w:val="222222"/>
          <w:kern w:val="0"/>
          <w:sz w:val="32"/>
          <w:szCs w:val="32"/>
        </w:rPr>
        <w:t>三十二、</w:t>
      </w:r>
      <w:r>
        <w:rPr>
          <w:rFonts w:hint="eastAsia" w:ascii="仿宋_GB2312" w:hAnsi="Verdana" w:eastAsia="仿宋_GB2312" w:cs="宋体"/>
          <w:b/>
          <w:bCs/>
          <w:color w:val="333333"/>
          <w:kern w:val="0"/>
          <w:sz w:val="32"/>
          <w:szCs w:val="32"/>
        </w:rPr>
        <w:t>专项收入</w:t>
      </w:r>
      <w:r>
        <w:rPr>
          <w:rFonts w:hint="eastAsia" w:ascii="仿宋_GB2312" w:hAnsi="Verdana" w:eastAsia="仿宋_GB2312" w:cs="宋体"/>
          <w:color w:val="333333"/>
          <w:kern w:val="0"/>
          <w:sz w:val="32"/>
          <w:szCs w:val="32"/>
        </w:rPr>
        <w:t>，指环保、水利、国土等部门征收的，有专门用途的公共财政预算收入。包括排污费收入、水资源费收入、矿产资源专项收入（矿产资源补偿费收入、探矿权采矿权使用费收入、探矿权采矿权价款收入）和其他专项收入。</w:t>
      </w:r>
      <w:r>
        <w:rPr>
          <w:rFonts w:hint="eastAsia" w:ascii="仿宋_GB2312" w:hAnsi="Verdana" w:eastAsia="仿宋_GB2312" w:cs="宋体"/>
          <w:color w:val="333333"/>
          <w:kern w:val="0"/>
          <w:sz w:val="32"/>
          <w:szCs w:val="32"/>
        </w:rPr>
        <w:br w:type="textWrapping"/>
      </w:r>
      <w:r>
        <w:rPr>
          <w:rFonts w:hint="eastAsia" w:ascii="MS Mincho" w:hAnsi="MS Mincho" w:eastAsia="MS Mincho" w:cs="MS Mincho"/>
          <w:b/>
          <w:bCs/>
          <w:color w:val="333333"/>
          <w:kern w:val="0"/>
          <w:sz w:val="32"/>
          <w:szCs w:val="32"/>
        </w:rPr>
        <w:t>    </w:t>
      </w:r>
      <w:r>
        <w:rPr>
          <w:rFonts w:hint="eastAsia" w:ascii="仿宋_GB2312" w:hAnsi="Verdana" w:eastAsia="仿宋_GB2312" w:cs="宋体"/>
          <w:color w:val="222222"/>
          <w:kern w:val="0"/>
          <w:sz w:val="32"/>
          <w:szCs w:val="32"/>
        </w:rPr>
        <w:t>三十三、</w:t>
      </w:r>
      <w:r>
        <w:rPr>
          <w:rFonts w:hint="eastAsia" w:ascii="仿宋_GB2312" w:hAnsi="Verdana" w:eastAsia="仿宋_GB2312" w:cs="宋体"/>
          <w:b/>
          <w:bCs/>
          <w:color w:val="333333"/>
          <w:kern w:val="0"/>
          <w:sz w:val="32"/>
          <w:szCs w:val="32"/>
        </w:rPr>
        <w:t>行政事业性收费收入，</w:t>
      </w:r>
      <w:r>
        <w:rPr>
          <w:rFonts w:hint="eastAsia" w:ascii="仿宋_GB2312" w:hAnsi="Verdana" w:eastAsia="仿宋_GB2312" w:cs="宋体"/>
          <w:color w:val="333333"/>
          <w:kern w:val="0"/>
          <w:sz w:val="32"/>
          <w:szCs w:val="32"/>
        </w:rPr>
        <w:t>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r>
        <w:rPr>
          <w:rFonts w:hint="eastAsia" w:ascii="仿宋_GB2312" w:hAnsi="Verdana" w:eastAsia="仿宋_GB2312"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_GB2312" w:hAnsi="Verdana" w:eastAsia="仿宋_GB2312" w:cs="宋体"/>
          <w:color w:val="222222"/>
          <w:kern w:val="0"/>
          <w:sz w:val="32"/>
          <w:szCs w:val="32"/>
        </w:rPr>
        <w:t>三十四、</w:t>
      </w:r>
      <w:r>
        <w:rPr>
          <w:rFonts w:hint="eastAsia" w:ascii="仿宋_GB2312" w:hAnsi="Verdana" w:eastAsia="仿宋_GB2312" w:cs="宋体"/>
          <w:b/>
          <w:bCs/>
          <w:color w:val="333333"/>
          <w:kern w:val="0"/>
          <w:sz w:val="32"/>
          <w:szCs w:val="32"/>
        </w:rPr>
        <w:t>罚没收入</w:t>
      </w:r>
      <w:r>
        <w:rPr>
          <w:rFonts w:hint="eastAsia" w:ascii="仿宋_GB2312" w:hAnsi="Verdana" w:eastAsia="仿宋_GB2312" w:cs="宋体"/>
          <w:color w:val="333333"/>
          <w:kern w:val="0"/>
          <w:sz w:val="32"/>
          <w:szCs w:val="32"/>
        </w:rPr>
        <w:t>，指国家司法机关、依法具有行政处罚权的国家行政机关、法律法规授权的具有管理公共事务职能的组织等依据法律、法规和规章规定，对公民、法人或者其他组织实施处罚所取得的罚款、没收的违法所得、没收的非法财物及其变价收入等。</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仿宋_GB2312" w:hAnsi="Verdana" w:eastAsia="仿宋_GB2312" w:cs="宋体"/>
          <w:color w:val="222222"/>
          <w:kern w:val="0"/>
          <w:sz w:val="32"/>
          <w:szCs w:val="32"/>
        </w:rPr>
        <w:t>三十五、</w:t>
      </w:r>
      <w:r>
        <w:rPr>
          <w:rFonts w:hint="eastAsia" w:ascii="仿宋_GB2312" w:hAnsi="Verdana" w:eastAsia="仿宋_GB2312" w:cs="宋体"/>
          <w:b/>
          <w:bCs/>
          <w:color w:val="333333"/>
          <w:kern w:val="0"/>
          <w:sz w:val="32"/>
          <w:szCs w:val="32"/>
        </w:rPr>
        <w:t>转移支付，</w:t>
      </w:r>
      <w:r>
        <w:rPr>
          <w:rFonts w:hint="eastAsia" w:ascii="仿宋_GB2312" w:hAnsi="Verdana" w:eastAsia="仿宋_GB2312" w:cs="宋体"/>
          <w:color w:val="333333"/>
          <w:kern w:val="0"/>
          <w:sz w:val="32"/>
          <w:szCs w:val="32"/>
        </w:rPr>
        <w:t>指上级政府通过预算安排的对下级政府无偿的资金拨付。中央、省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特定政策目标，专款专用。</w:t>
      </w:r>
      <w:r>
        <w:rPr>
          <w:rFonts w:hint="eastAsia" w:ascii="仿宋_GB2312" w:hAnsi="Verdana" w:eastAsia="仿宋_GB2312"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_GB2312" w:hAnsi="Verdana" w:eastAsia="仿宋_GB2312" w:cs="宋体"/>
          <w:color w:val="222222"/>
          <w:kern w:val="0"/>
          <w:sz w:val="32"/>
          <w:szCs w:val="32"/>
        </w:rPr>
        <w:t>三十六、</w:t>
      </w:r>
      <w:r>
        <w:rPr>
          <w:rFonts w:hint="eastAsia" w:ascii="仿宋_GB2312" w:hAnsi="Verdana" w:eastAsia="仿宋_GB2312" w:cs="宋体"/>
          <w:b/>
          <w:bCs/>
          <w:color w:val="333333"/>
          <w:kern w:val="0"/>
          <w:sz w:val="32"/>
          <w:szCs w:val="32"/>
        </w:rPr>
        <w:t>转移性收入</w:t>
      </w:r>
      <w:r>
        <w:rPr>
          <w:rFonts w:hint="eastAsia" w:ascii="仿宋_GB2312" w:hAnsi="Verdana" w:eastAsia="仿宋_GB2312" w:cs="宋体"/>
          <w:color w:val="333333"/>
          <w:kern w:val="0"/>
          <w:sz w:val="32"/>
          <w:szCs w:val="32"/>
        </w:rPr>
        <w:t>，包括返还性收入、一般性转移支付收入、专项转移支付收入、上年结余收入、调入资金以及债券转贷收入（县县财政使用）、接受其他地区援助收入（受援县县使用）等。</w:t>
      </w:r>
      <w:r>
        <w:rPr>
          <w:rFonts w:hint="eastAsia" w:ascii="仿宋_GB2312" w:hAnsi="Verdana" w:eastAsia="仿宋_GB2312" w:cs="宋体"/>
          <w:color w:val="333333"/>
          <w:kern w:val="0"/>
          <w:sz w:val="32"/>
          <w:szCs w:val="32"/>
        </w:rPr>
        <w:br w:type="textWrapping"/>
      </w:r>
      <w:r>
        <w:rPr>
          <w:rFonts w:hint="eastAsia" w:ascii="MS Mincho" w:hAnsi="MS Mincho" w:eastAsia="MS Mincho" w:cs="MS Mincho"/>
          <w:color w:val="333333"/>
          <w:kern w:val="0"/>
          <w:sz w:val="32"/>
          <w:szCs w:val="32"/>
        </w:rPr>
        <w:t>    </w:t>
      </w:r>
      <w:r>
        <w:rPr>
          <w:rFonts w:hint="eastAsia" w:ascii="仿宋_GB2312" w:hAnsi="Verdana" w:eastAsia="仿宋_GB2312" w:cs="宋体"/>
          <w:color w:val="222222"/>
          <w:kern w:val="0"/>
          <w:sz w:val="32"/>
          <w:szCs w:val="32"/>
        </w:rPr>
        <w:t>三十七、</w:t>
      </w:r>
      <w:r>
        <w:rPr>
          <w:rFonts w:hint="eastAsia" w:ascii="仿宋_GB2312" w:hAnsi="Verdana" w:eastAsia="仿宋_GB2312" w:cs="宋体"/>
          <w:b/>
          <w:bCs/>
          <w:color w:val="333333"/>
          <w:kern w:val="0"/>
          <w:sz w:val="32"/>
          <w:szCs w:val="32"/>
        </w:rPr>
        <w:t>返还性收入，</w:t>
      </w:r>
      <w:r>
        <w:rPr>
          <w:rFonts w:hint="eastAsia" w:ascii="仿宋_GB2312" w:hAnsi="Verdana" w:eastAsia="仿宋_GB2312" w:cs="宋体"/>
          <w:color w:val="333333"/>
          <w:kern w:val="0"/>
          <w:sz w:val="32"/>
          <w:szCs w:val="32"/>
        </w:rPr>
        <w:t>指1994年分税制改革、2002年所得税收入分享改革、2009年成品油税费改革后，对原属于地方的收入划为中央收入部分，给予地方的补偿。包括消费税和增值税税收返还、所得税基数返还、成品油价格和税费改革税收返还。</w:t>
      </w:r>
    </w:p>
    <w:p>
      <w:pPr>
        <w:widowControl/>
        <w:shd w:val="clear" w:color="auto" w:fill="FFFFFF"/>
        <w:spacing w:line="560" w:lineRule="atLeast"/>
        <w:ind w:firstLine="640"/>
        <w:jc w:val="left"/>
        <w:rPr>
          <w:rFonts w:ascii="Verdana" w:hAnsi="Verdana" w:eastAsia="宋体" w:cs="宋体"/>
          <w:color w:val="333333"/>
          <w:kern w:val="0"/>
          <w:sz w:val="24"/>
          <w:szCs w:val="24"/>
        </w:rPr>
      </w:pPr>
      <w:r>
        <w:rPr>
          <w:rFonts w:hint="eastAsia" w:ascii="MS Mincho" w:hAnsi="MS Mincho" w:eastAsia="MS Mincho" w:cs="MS Mincho"/>
          <w:b/>
          <w:bCs/>
          <w:color w:val="333333"/>
          <w:kern w:val="0"/>
          <w:sz w:val="32"/>
          <w:szCs w:val="32"/>
        </w:rPr>
        <w:t>    </w:t>
      </w:r>
      <w:r>
        <w:rPr>
          <w:rFonts w:hint="eastAsia" w:ascii="仿宋_GB2312" w:hAnsi="Verdana" w:eastAsia="仿宋_GB2312" w:cs="宋体"/>
          <w:color w:val="222222"/>
          <w:kern w:val="0"/>
          <w:sz w:val="32"/>
          <w:szCs w:val="32"/>
        </w:rPr>
        <w:t>三十八、</w:t>
      </w:r>
      <w:r>
        <w:rPr>
          <w:rFonts w:hint="eastAsia" w:ascii="仿宋_GB2312" w:hAnsi="Verdana" w:eastAsia="仿宋_GB2312" w:cs="宋体"/>
          <w:b/>
          <w:bCs/>
          <w:color w:val="333333"/>
          <w:kern w:val="0"/>
          <w:sz w:val="32"/>
          <w:szCs w:val="32"/>
        </w:rPr>
        <w:t>政府性基金收入，</w:t>
      </w:r>
      <w:r>
        <w:rPr>
          <w:rFonts w:hint="eastAsia" w:ascii="仿宋_GB2312" w:hAnsi="Verdana" w:eastAsia="仿宋_GB2312" w:cs="宋体"/>
          <w:color w:val="333333"/>
          <w:kern w:val="0"/>
          <w:sz w:val="32"/>
          <w:szCs w:val="32"/>
        </w:rPr>
        <w:t>县本级基金收入主要项目包括国有土地使用权出让收入、政府住房基金收入和其他基金收入。　　</w:t>
      </w:r>
    </w:p>
    <w:p>
      <w:pPr>
        <w:widowControl/>
        <w:shd w:val="clear" w:color="auto" w:fill="FFFFFF"/>
        <w:spacing w:line="560" w:lineRule="atLeast"/>
        <w:ind w:firstLine="627"/>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三十九、</w:t>
      </w:r>
      <w:r>
        <w:rPr>
          <w:rFonts w:hint="eastAsia" w:ascii="仿宋_GB2312" w:hAnsi="Verdana" w:eastAsia="仿宋_GB2312" w:cs="宋体"/>
          <w:b/>
          <w:bCs/>
          <w:color w:val="333333"/>
          <w:kern w:val="0"/>
          <w:sz w:val="32"/>
          <w:szCs w:val="32"/>
        </w:rPr>
        <w:t>基本支出</w:t>
      </w:r>
      <w:r>
        <w:rPr>
          <w:rFonts w:hint="eastAsia" w:ascii="仿宋_GB2312" w:hAnsi="Verdana" w:eastAsia="仿宋_GB2312" w:cs="宋体"/>
          <w:color w:val="333333"/>
          <w:kern w:val="0"/>
          <w:sz w:val="32"/>
          <w:szCs w:val="32"/>
        </w:rPr>
        <w:t>，指部门为保障其机构正常运转、完成日常工作任务而编制的年度基本支出计划，包括人员经费和公用经费两部分。</w:t>
      </w:r>
    </w:p>
    <w:p>
      <w:pPr>
        <w:widowControl/>
        <w:shd w:val="clear" w:color="auto" w:fill="FFFFFF"/>
        <w:spacing w:line="560" w:lineRule="atLeast"/>
        <w:ind w:firstLine="627"/>
        <w:jc w:val="left"/>
        <w:rPr>
          <w:rFonts w:ascii="Verdana" w:hAnsi="Verdana" w:eastAsia="宋体" w:cs="宋体"/>
          <w:color w:val="333333"/>
          <w:kern w:val="0"/>
          <w:sz w:val="24"/>
          <w:szCs w:val="24"/>
        </w:rPr>
      </w:pPr>
      <w:r>
        <w:rPr>
          <w:rFonts w:hint="eastAsia" w:ascii="仿宋_GB2312" w:hAnsi="Verdana" w:eastAsia="仿宋_GB2312" w:cs="宋体"/>
          <w:color w:val="222222"/>
          <w:kern w:val="0"/>
          <w:sz w:val="32"/>
          <w:szCs w:val="32"/>
        </w:rPr>
        <w:t>四十、</w:t>
      </w:r>
      <w:r>
        <w:rPr>
          <w:rFonts w:hint="eastAsia" w:ascii="仿宋_GB2312" w:hAnsi="Verdana" w:eastAsia="仿宋_GB2312" w:cs="宋体"/>
          <w:b/>
          <w:bCs/>
          <w:color w:val="333333"/>
          <w:kern w:val="0"/>
          <w:sz w:val="32"/>
          <w:szCs w:val="32"/>
        </w:rPr>
        <w:t>项目支出，</w:t>
      </w:r>
      <w:r>
        <w:rPr>
          <w:rFonts w:hint="eastAsia" w:ascii="仿宋_GB2312" w:hAnsi="Verdana" w:eastAsia="仿宋_GB2312" w:cs="宋体"/>
          <w:color w:val="333333"/>
          <w:kern w:val="0"/>
          <w:sz w:val="32"/>
          <w:szCs w:val="32"/>
        </w:rPr>
        <w:t>指部门为完成其特定的行政工作任务或事业发展目标，在基本支出预算之外编制的年度项目支出计划。</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MS Mincho" w:hAnsi="MS Mincho" w:eastAsia="MS Mincho" w:cs="MS Mincho"/>
          <w:color w:val="333333"/>
          <w:kern w:val="0"/>
          <w:sz w:val="32"/>
          <w:szCs w:val="32"/>
        </w:rPr>
        <w:t> </w:t>
      </w:r>
      <w:r>
        <w:rPr>
          <w:rFonts w:hint="eastAsia" w:ascii="MS Mincho" w:hAnsi="MS Mincho" w:eastAsia="MS Mincho" w:cs="MS Mincho"/>
          <w:b/>
          <w:bCs/>
          <w:color w:val="333333"/>
          <w:kern w:val="0"/>
          <w:sz w:val="32"/>
          <w:szCs w:val="32"/>
        </w:rPr>
        <w:t> </w:t>
      </w:r>
      <w:r>
        <w:rPr>
          <w:rFonts w:hint="eastAsia" w:ascii="仿宋_GB2312" w:hAnsi="Verdana" w:eastAsia="仿宋_GB2312" w:cs="宋体"/>
          <w:color w:val="222222"/>
          <w:kern w:val="0"/>
          <w:sz w:val="32"/>
          <w:szCs w:val="32"/>
        </w:rPr>
        <w:t>四十一、</w:t>
      </w:r>
      <w:r>
        <w:rPr>
          <w:rFonts w:hint="eastAsia" w:ascii="仿宋_GB2312" w:hAnsi="Verdana" w:eastAsia="仿宋_GB2312" w:cs="宋体"/>
          <w:b/>
          <w:bCs/>
          <w:color w:val="333333"/>
          <w:kern w:val="0"/>
          <w:sz w:val="32"/>
          <w:szCs w:val="32"/>
        </w:rPr>
        <w:t>“三公”经费，</w:t>
      </w:r>
      <w:r>
        <w:rPr>
          <w:rFonts w:hint="eastAsia" w:ascii="仿宋_GB2312" w:hAnsi="Verdana" w:eastAsia="仿宋_GB2312" w:cs="宋体"/>
          <w:color w:val="333333"/>
          <w:kern w:val="0"/>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idowControl/>
        <w:shd w:val="clear" w:color="auto" w:fill="FFFFFF"/>
        <w:spacing w:line="560" w:lineRule="atLeast"/>
        <w:ind w:firstLine="600"/>
        <w:jc w:val="left"/>
        <w:rPr>
          <w:rFonts w:ascii="Verdana" w:hAnsi="Verdana" w:eastAsia="宋体" w:cs="宋体"/>
          <w:color w:val="333333"/>
          <w:kern w:val="0"/>
          <w:sz w:val="24"/>
          <w:szCs w:val="24"/>
        </w:rPr>
      </w:pPr>
      <w:r>
        <w:rPr>
          <w:rFonts w:hint="eastAsia" w:ascii="仿宋_GB2312" w:hAnsi="Verdana" w:eastAsia="仿宋_GB2312" w:cs="宋体"/>
          <w:color w:val="333333"/>
          <w:kern w:val="0"/>
          <w:sz w:val="32"/>
          <w:szCs w:val="32"/>
        </w:rPr>
        <w:t>附件：</w:t>
      </w:r>
      <w:r>
        <w:rPr>
          <w:rFonts w:hint="eastAsia" w:ascii="MS Mincho" w:hAnsi="MS Mincho" w:eastAsia="MS Mincho" w:cs="MS Mincho"/>
          <w:color w:val="333333"/>
          <w:kern w:val="0"/>
          <w:sz w:val="32"/>
          <w:szCs w:val="32"/>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Verdana">
    <w:panose1 w:val="020B0604030504040204"/>
    <w:charset w:val="00"/>
    <w:family w:val="decorative"/>
    <w:pitch w:val="default"/>
    <w:sig w:usb0="A10006FF" w:usb1="4000205B" w:usb2="00000010" w:usb3="00000000" w:csb0="2000019F" w:csb1="00000000"/>
  </w:font>
  <w:font w:name="MS Mincho">
    <w:panose1 w:val="02020609040205080304"/>
    <w:charset w:val="80"/>
    <w:family w:val="swiss"/>
    <w:pitch w:val="default"/>
    <w:sig w:usb0="E00002FF" w:usb1="6AC7FDFB" w:usb2="00000012" w:usb3="00000000" w:csb0="4002009F" w:csb1="DFD7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decorative"/>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Verdana">
    <w:panose1 w:val="020B0604030504040204"/>
    <w:charset w:val="00"/>
    <w:family w:val="roman"/>
    <w:pitch w:val="default"/>
    <w:sig w:usb0="A10006FF" w:usb1="4000205B" w:usb2="00000010" w:usb3="00000000" w:csb0="2000019F" w:csb1="00000000"/>
  </w:font>
  <w:font w:name="MS Mincho">
    <w:panose1 w:val="02020609040205080304"/>
    <w:charset w:val="80"/>
    <w:family w:val="decorative"/>
    <w:pitch w:val="default"/>
    <w:sig w:usb0="E00002FF" w:usb1="6AC7FDFB" w:usb2="00000012" w:usb3="00000000" w:csb0="4002009F" w:csb1="DFD7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2413"/>
    <w:rsid w:val="00212413"/>
    <w:rsid w:val="007A7F8A"/>
    <w:rsid w:val="333B1B64"/>
    <w:rsid w:val="56D7096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1070</Words>
  <Characters>6101</Characters>
  <Lines>50</Lines>
  <Paragraphs>14</Paragraphs>
  <ScaleCrop>false</ScaleCrop>
  <LinksUpToDate>false</LinksUpToDate>
  <CharactersWithSpaces>7157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2020-08-11T02:03:00Z</dcterms:created>
  <dc:creator>User</dc:creator>
  <cp:lastModifiedBy>lenovo</cp:lastModifiedBy>
  <dcterms:modified xsi:type="dcterms:W3CDTF">2022-12-21T06:49:03Z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