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91" w:rsidRDefault="0063344B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巴宜区商务局</w:t>
      </w:r>
      <w:r>
        <w:rPr>
          <w:rFonts w:ascii="黑体" w:eastAsia="黑体" w:hint="eastAsia"/>
          <w:b/>
          <w:sz w:val="52"/>
          <w:szCs w:val="52"/>
        </w:rPr>
        <w:t>2019</w:t>
      </w:r>
      <w:r>
        <w:rPr>
          <w:rFonts w:ascii="黑体" w:eastAsia="黑体" w:hint="eastAsia"/>
          <w:b/>
          <w:sz w:val="52"/>
          <w:szCs w:val="52"/>
        </w:rPr>
        <w:t>年度部门决算</w:t>
      </w: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rPr>
          <w:sz w:val="44"/>
          <w:szCs w:val="44"/>
        </w:rPr>
      </w:pPr>
    </w:p>
    <w:p w:rsidR="00B74091" w:rsidRDefault="0063344B"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20</w:t>
      </w:r>
      <w:r>
        <w:rPr>
          <w:rFonts w:ascii="宋体" w:hAnsi="宋体" w:hint="eastAsia"/>
          <w:sz w:val="32"/>
          <w:szCs w:val="32"/>
          <w:u w:val="single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8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日</w:t>
      </w:r>
    </w:p>
    <w:p w:rsidR="00B74091" w:rsidRDefault="00B74091">
      <w:pPr>
        <w:rPr>
          <w:sz w:val="44"/>
          <w:szCs w:val="44"/>
        </w:rPr>
      </w:pPr>
    </w:p>
    <w:p w:rsidR="00B74091" w:rsidRDefault="00B74091">
      <w:pPr>
        <w:pStyle w:val="a5"/>
        <w:spacing w:before="0" w:beforeAutospacing="0" w:after="375" w:afterAutospacing="0"/>
        <w:ind w:firstLine="480"/>
        <w:rPr>
          <w:rStyle w:val="a6"/>
          <w:rFonts w:ascii="微软雅黑" w:eastAsia="微软雅黑" w:hAnsi="微软雅黑" w:cs="宋体"/>
          <w:color w:val="333333"/>
        </w:rPr>
      </w:pPr>
    </w:p>
    <w:p w:rsidR="00B74091" w:rsidRDefault="00B74091">
      <w:pPr>
        <w:pStyle w:val="a5"/>
        <w:spacing w:before="0" w:beforeAutospacing="0" w:after="375" w:afterAutospacing="0"/>
        <w:ind w:firstLine="480"/>
        <w:rPr>
          <w:rStyle w:val="a6"/>
          <w:rFonts w:ascii="微软雅黑" w:eastAsia="微软雅黑" w:hAnsi="微软雅黑" w:cs="宋体"/>
          <w:color w:val="333333"/>
        </w:rPr>
      </w:pPr>
    </w:p>
    <w:p w:rsidR="00B74091" w:rsidRDefault="00B74091">
      <w:pPr>
        <w:pStyle w:val="a5"/>
        <w:spacing w:before="0" w:beforeAutospacing="0" w:after="375" w:afterAutospacing="0"/>
        <w:ind w:firstLine="480"/>
        <w:rPr>
          <w:rStyle w:val="a6"/>
          <w:rFonts w:ascii="微软雅黑" w:eastAsia="微软雅黑" w:hAnsi="微软雅黑" w:cs="宋体"/>
          <w:color w:val="333333"/>
        </w:rPr>
      </w:pPr>
    </w:p>
    <w:p w:rsidR="00B74091" w:rsidRDefault="00B74091">
      <w:pPr>
        <w:pStyle w:val="a5"/>
        <w:spacing w:before="0" w:beforeAutospacing="0" w:after="375" w:afterAutospacing="0"/>
        <w:ind w:firstLine="480"/>
        <w:rPr>
          <w:rStyle w:val="a6"/>
          <w:rFonts w:ascii="微软雅黑" w:eastAsia="微软雅黑" w:hAnsi="微软雅黑" w:cs="宋体"/>
          <w:color w:val="333333"/>
        </w:rPr>
      </w:pPr>
    </w:p>
    <w:p w:rsidR="00B74091" w:rsidRDefault="0063344B">
      <w:pPr>
        <w:spacing w:line="460" w:lineRule="exact"/>
        <w:jc w:val="center"/>
        <w:rPr>
          <w:rFonts w:ascii="宋体"/>
          <w:b/>
          <w:sz w:val="40"/>
          <w:szCs w:val="40"/>
        </w:rPr>
      </w:pPr>
      <w:r>
        <w:rPr>
          <w:rFonts w:ascii="宋体" w:hAnsi="宋体" w:hint="eastAsia"/>
          <w:bCs/>
          <w:sz w:val="40"/>
          <w:szCs w:val="40"/>
        </w:rPr>
        <w:lastRenderedPageBreak/>
        <w:t>目</w:t>
      </w:r>
      <w:r>
        <w:rPr>
          <w:rFonts w:ascii="宋体" w:hAnsi="宋体" w:hint="eastAsia"/>
          <w:b/>
          <w:sz w:val="40"/>
          <w:szCs w:val="40"/>
        </w:rPr>
        <w:t>录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一部分巴宜区商务局概况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部门决算单位构成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部门职责和机构设置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第二部分巴宜区商务局</w:t>
      </w:r>
      <w:r>
        <w:rPr>
          <w:rFonts w:ascii="仿宋_GB2312" w:eastAsia="仿宋_GB2312" w:hAnsi="宋体" w:hint="eastAsia"/>
          <w:b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sz w:val="32"/>
          <w:szCs w:val="32"/>
        </w:rPr>
        <w:t>年度部门决算明细表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一、收支决算总表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二、收入决算总表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三、支出决算总表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四、财政拨款收支决算总表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五、一般公共预算财政拨款支出决算表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六、一般公共预算财政拨款基本支出决算表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七、一般公共预算相关经费支出决算表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八、政府性基金预算财政拨款收支决算表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第三部分巴宜区商务局</w:t>
      </w:r>
      <w:r>
        <w:rPr>
          <w:rFonts w:ascii="仿宋_GB2312" w:eastAsia="仿宋_GB2312" w:hAnsi="宋体" w:hint="eastAsia"/>
          <w:b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sz w:val="32"/>
          <w:szCs w:val="32"/>
        </w:rPr>
        <w:t>年度部门决算情况说明</w:t>
      </w: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第四部分名词解释</w:t>
      </w:r>
    </w:p>
    <w:p w:rsidR="00B74091" w:rsidRDefault="00B74091" w:rsidP="006819EE">
      <w:pPr>
        <w:spacing w:beforeLines="100" w:afterLines="100" w:line="460" w:lineRule="exact"/>
        <w:rPr>
          <w:rFonts w:ascii="黑体" w:eastAsia="黑体" w:hAnsi="宋体"/>
          <w:b/>
          <w:bCs/>
          <w:sz w:val="32"/>
          <w:szCs w:val="32"/>
        </w:rPr>
      </w:pPr>
    </w:p>
    <w:p w:rsidR="00B74091" w:rsidRDefault="00B74091" w:rsidP="006819EE">
      <w:pPr>
        <w:spacing w:beforeLines="100" w:afterLines="100" w:line="460" w:lineRule="exact"/>
        <w:rPr>
          <w:rFonts w:ascii="黑体" w:eastAsia="黑体" w:hAnsi="宋体"/>
          <w:b/>
          <w:bCs/>
          <w:sz w:val="32"/>
          <w:szCs w:val="32"/>
        </w:rPr>
      </w:pPr>
    </w:p>
    <w:p w:rsidR="00B74091" w:rsidRDefault="00B74091">
      <w:pPr>
        <w:pStyle w:val="a5"/>
        <w:spacing w:before="0" w:beforeAutospacing="0" w:after="375" w:afterAutospacing="0"/>
        <w:ind w:firstLine="480"/>
        <w:jc w:val="center"/>
        <w:rPr>
          <w:rStyle w:val="a6"/>
          <w:rFonts w:ascii="微软雅黑" w:eastAsia="微软雅黑" w:hAnsi="微软雅黑" w:cs="宋体"/>
          <w:color w:val="333333"/>
        </w:rPr>
      </w:pPr>
    </w:p>
    <w:p w:rsidR="00B74091" w:rsidRDefault="0063344B" w:rsidP="006819EE">
      <w:pPr>
        <w:spacing w:beforeLines="100" w:afterLines="100" w:line="460" w:lineRule="exact"/>
        <w:rPr>
          <w:rFonts w:ascii="仿宋_GB2312" w:eastAsia="仿宋_GB2312" w:hAnsi="宋体"/>
          <w:b/>
          <w:bCs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lastRenderedPageBreak/>
        <w:t>第一部分</w:t>
      </w:r>
    </w:p>
    <w:p w:rsidR="00B74091" w:rsidRDefault="0063344B">
      <w:pPr>
        <w:pStyle w:val="a5"/>
        <w:spacing w:before="0" w:beforeAutospacing="0" w:after="375" w:afterAutospacing="0"/>
        <w:rPr>
          <w:rFonts w:ascii="仿宋_GB2312" w:eastAsia="仿宋_GB2312" w:hAnsi="微软雅黑"/>
          <w:b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 xml:space="preserve">     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巴宜区商务局（部门）概况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一、部门决算单位构成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纳入巴宜区商务局部门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年度部门决算编制范围的单位包括商务局。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二、部门职责和机构设置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)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、部门职责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商务局主要履行下列职责：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贯彻执行国家和自治区、林芝市有关国内外贸易、外商投资、对外援助、对外投资、对外经济合作的方针政策和法律法规，执行国家及自治区、林芝市有关国内外贸易和国际经济合作的发展战略、政策，拟订巴宜区国内外贸易、国际经济合作和招商引资发展规划并组织实施；研究现代流通方式的发展趋势和流通体制改革并提出建议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负责推进流通产业结构调整，指导商贸服务业发展，提出促进商贸中小企业发展的政策建议，推动流通标准化和连锁经营、商业特许经营、物流配送、电子商务等现代流通方式的发展。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拟订全区国内贸易发展规划，承担促进城乡市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场发展的责任，指导大宗产品批发市场规划和城市商业网点规划、商业体系建设工作，推进农牧区市场体系建设，组织实施农牧区现代流通网络工程。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执行国家及自治区、林芝市规范市场运行、流通秩序的政策；推动商务领域信用建设，指导商业信用销售；建立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市场诚信公共服务平台；按有关规定对特殊流通行业进行监督管理。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5.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承担重要消费品市场调控和重要生产资料流通管理的责任；负责建立健全生活必需品市场供应应急管理机制，监测分析市场运行、商品供求状况，调查分析商品价格信息，进行预测预警；按分工责任重要消费品储备管理和市场调控工作；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照有关规定对成品油和液化气流通进行监督管理。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组织实施巴宜区进出口商品，加工贸易管理和进出口管理商品及技术目录。组织实施重要工业品、原材料和重要农产品的进出口计划，做好制定巴宜区各类商品和技术进出口业务的中长期规划。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7.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组织协调产业安全应对工作及国外对我区出口商品的反倾销、反补贴、保障措施及其他进出口公平贸易相关的工作，建立进出口公平贸易预警机制。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8.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负责巴宜区国内外贸易统计和信息发布；配合有关部门负责搞好出口退税稽核工作；负责巴宜区内外贸企业和行业指导工作。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9.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指导巴宜区外商投资工作，依法审核上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报外商投资企业的设立及变更事项，依法监督检查外商投资企业执行有关法律法规政策、合同、章程的情况；并协调解决有关问题；负责研究制订巴宜区吸收外资发展规划；会同有关部门制订巴宜区外商投资的优惠政策和管理办法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10.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负责巴宜区招商引资及园区招商引资的统筹、协调工作；承办巴宜区的对外经济合作、招商引资活动的组织、洽谈和服务工作；参与巴宜区招商引资重点项目的推介、跟踪、服务等工作，会同有关部门制定巴宜区招商引资的年度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工作目标并组织实施，督促检查有关部门招商引资工作，负责为外来投资者提供投资政策、环境、导向、推荐项目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及有关投诉咨询服务，协调解决投资者反映的重要问题；负责巴宜区招商引资的对外宣传及信息综合工作；负责巴宜区招商引资项目库建设，搞好项目谋划、收集、包装、整理、编制、推介和落地实施工作。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11.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承办巴宜区党委、政府交办的其它工作。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（二）部门机构设置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商务局内设机构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个，商务局。</w:t>
      </w: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第二部分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巴宜区商务局（部门）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2019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年度决算明细表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（见附表</w:t>
      </w:r>
      <w:r>
        <w:rPr>
          <w:rStyle w:val="a6"/>
          <w:rFonts w:ascii="仿宋_GB2312" w:eastAsia="仿宋_GB2312" w:hAnsi="Î¢ÈíÑÅºÚ Western" w:cs="宋体" w:hint="eastAsia"/>
          <w:color w:val="333333"/>
          <w:sz w:val="48"/>
          <w:szCs w:val="48"/>
        </w:rPr>
        <w:t>1</w:t>
      </w:r>
      <w:r>
        <w:rPr>
          <w:rStyle w:val="a6"/>
          <w:rFonts w:ascii="仿宋_GB2312" w:eastAsia="仿宋_GB2312" w:hAnsi="Î¢ÈíÑÅºÚ Western" w:cs="宋体" w:hint="eastAsia"/>
          <w:color w:val="333333"/>
          <w:sz w:val="48"/>
          <w:szCs w:val="48"/>
        </w:rPr>
        <w:t>—</w:t>
      </w:r>
      <w:r>
        <w:rPr>
          <w:rStyle w:val="a6"/>
          <w:rFonts w:ascii="仿宋_GB2312" w:eastAsia="仿宋_GB2312" w:hAnsi="Î¢ÈíÑÅºÚ Western" w:cs="宋体" w:hint="eastAsia"/>
          <w:color w:val="333333"/>
          <w:sz w:val="48"/>
          <w:szCs w:val="48"/>
        </w:rPr>
        <w:t>8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）</w:t>
      </w: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jc w:val="center"/>
        <w:rPr>
          <w:rStyle w:val="a6"/>
          <w:rFonts w:ascii="仿宋_GB2312" w:eastAsia="仿宋_GB2312" w:hAnsi="微软雅黑" w:cs="宋体"/>
          <w:color w:val="333333"/>
          <w:sz w:val="32"/>
          <w:szCs w:val="32"/>
        </w:rPr>
      </w:pP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lastRenderedPageBreak/>
        <w:t>第三部分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商务局（部门）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2019</w:t>
      </w: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年度决算情况说明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一、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年度一般公共预算收支总体情况说明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收入预算数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231.94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308.37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，减少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76.43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万元，下降了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32.95%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调整预算数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604.15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212.23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，增加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391.92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万元，增长了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64.87%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；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收入决算数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604.15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212.23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，增加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391.92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万元，增长了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64.87%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支出预算数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260.4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356.66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，减少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96.26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万元，下降了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36.97%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；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调整预算数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632.61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260.53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，增长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372.08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万元，增长了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58.82%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；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支出决算数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与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 xml:space="preserve"> 20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18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年度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 xml:space="preserve"> 230.06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</w:t>
      </w:r>
      <w:r>
        <w:rPr>
          <w:rFonts w:ascii="仿宋_GB2312" w:eastAsia="仿宋_GB2312" w:cs="仿宋_GB2312"/>
          <w:color w:val="000000"/>
          <w:sz w:val="31"/>
          <w:szCs w:val="31"/>
          <w:lang/>
        </w:rPr>
        <w:t>相比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，增加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6.47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万元，增长了</w:t>
      </w:r>
      <w:r>
        <w:rPr>
          <w:rFonts w:ascii="仿宋_GB2312" w:eastAsia="仿宋_GB2312" w:cs="仿宋_GB2312" w:hint="eastAsia"/>
          <w:color w:val="000000"/>
          <w:sz w:val="31"/>
          <w:szCs w:val="31"/>
          <w:lang/>
        </w:rPr>
        <w:t>2.74%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二、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年度一般公共预算收入情况说明</w:t>
      </w:r>
    </w:p>
    <w:p w:rsidR="00B74091" w:rsidRDefault="0063344B">
      <w:pPr>
        <w:widowControl/>
        <w:spacing w:line="360" w:lineRule="atLeast"/>
        <w:ind w:firstLineChars="196" w:firstLine="627"/>
        <w:jc w:val="lef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年全年总收入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604.15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万元，财政拨款收入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604.15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三、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年度一般公共预算支出情况说明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年度财政拨款预算支出为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四、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年度一般公共预算财政拨款支出情况说明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（一）财政拨款支出决算总体情况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年支出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万元，其中基本支出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（二）财政拨款支出决算结构情况</w:t>
      </w:r>
    </w:p>
    <w:p w:rsidR="00B74091" w:rsidRDefault="0063344B">
      <w:pPr>
        <w:widowControl/>
        <w:spacing w:line="360" w:lineRule="atLeast"/>
        <w:ind w:firstLineChars="196" w:firstLine="627"/>
        <w:jc w:val="lef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商务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局工资福利支出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185.83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万元；商品服务支出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49.65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万元；对个人和家庭补助支出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1.05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万元；其他资本性支出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（三）财政拨款支出决算具体情况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一般公共服务支出（类）商贸事务（款）行政运行（项）：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216.03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住房保障支出（类）住房改革支出（款）购房补贴（项）：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10.4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一般公共服务支出（类）商贸事务（款）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招商引资（项）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10.1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五、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2016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年度“三公”经费预决算情况说明</w:t>
      </w:r>
    </w:p>
    <w:p w:rsidR="00B74091" w:rsidRDefault="0063344B">
      <w:pPr>
        <w:ind w:right="1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单位：万元</w:t>
      </w:r>
    </w:p>
    <w:tbl>
      <w:tblPr>
        <w:tblW w:w="8969" w:type="dxa"/>
        <w:jc w:val="center"/>
        <w:tblLayout w:type="fixed"/>
        <w:tblLook w:val="04A0"/>
      </w:tblPr>
      <w:tblGrid>
        <w:gridCol w:w="4160"/>
        <w:gridCol w:w="1417"/>
        <w:gridCol w:w="1549"/>
        <w:gridCol w:w="1843"/>
      </w:tblGrid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决算数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1.59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公务用车经费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）公务用车运行维护费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91" w:rsidRDefault="006334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91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）公务用车购置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91" w:rsidRDefault="00B740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B740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91" w:rsidRDefault="00633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74091" w:rsidRDefault="00B74091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年巴宜区商务局“三公”经费总数未超支。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年公务接待费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年公务接待费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年公务用车运行及维护费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2.29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8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年公务用车运行及维护费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1.97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>
        <w:rPr>
          <w:rFonts w:ascii="仿宋_GB2312" w:eastAsia="仿宋_GB2312" w:hAnsi="微软雅黑" w:hint="eastAsia"/>
          <w:sz w:val="32"/>
          <w:szCs w:val="32"/>
        </w:rPr>
        <w:t>比上年同期增长</w:t>
      </w:r>
      <w:r>
        <w:rPr>
          <w:rFonts w:ascii="仿宋_GB2312" w:eastAsia="仿宋_GB2312" w:hAnsi="微软雅黑" w:hint="eastAsia"/>
          <w:sz w:val="32"/>
          <w:szCs w:val="32"/>
        </w:rPr>
        <w:t>13.97</w:t>
      </w:r>
      <w:r>
        <w:rPr>
          <w:rFonts w:ascii="仿宋_GB2312" w:eastAsia="仿宋_GB2312" w:hAnsi="微软雅黑" w:hint="eastAsia"/>
          <w:sz w:val="32"/>
          <w:szCs w:val="32"/>
        </w:rPr>
        <w:t>%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公务用车购置及运行费。全部为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辆公车运行维护费。开支主要用于油料费和保养维修费等支出。由于汽油燃料价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格持续上涨，且车辆、车况老化、导致燃油费、车辆保养费维修费用较大。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公务接待经费。巴宜区商务局严格执行中央“八项规定”，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年无公务接待费。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主要做法：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一是加强对公务用车的管理。规范和控制公务用车修理、用油等行为，最大限度提高单车使用效率。二是控制公务接待费用。严格执行“八项规定”“六项禁令”，简化接待工作。严控“三公”经费开支，做到严格管理、规范使用，确保“三公”经费管理工作取得实效，以廉洁的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作风促进我办各项工作的扎实开展。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六、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年度机关运行情况说明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2019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年本部门（含下属单位）履行一般行政事业管理职能、维持机关运行，用一般公用预算安排的行政经费，合计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万元。其中，基本支出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236.53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万元。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（二）机关运行经费预算的内容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行政经费由基本支出和一般行政支出两部分组成；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基本支出，包括两部分；一部分是人员经费，具体包括工资、津贴及奖金、医疗费、住房补贴等；二是公用经费，具体包括办公及印刷费、水电费、邮电费、交通费、差旅费、会议费、福利费、物业管理费、日常维修费、一般购置费等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微软雅黑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一般行政管理项目支出，包括招待费、会议费、购置费（包括设备、计算机等）、专用材料费、干部培训费、信息网络运行维护费等用于一般行政管理事务方面的项目支出。</w:t>
      </w:r>
    </w:p>
    <w:p w:rsidR="00B74091" w:rsidRDefault="0063344B">
      <w:pPr>
        <w:widowControl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>七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/>
        </w:rPr>
        <w:t>、政府采购支出说明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/>
        </w:rPr>
        <w:t xml:space="preserve"> </w:t>
      </w:r>
    </w:p>
    <w:p w:rsidR="00B74091" w:rsidRDefault="0063344B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lastRenderedPageBreak/>
        <w:t>商务局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2019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年度政府采购支出总额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0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万元，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同比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度政府采购支出总额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无增减变化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  <w:sz w:val="31"/>
          <w:szCs w:val="31"/>
          <w:lang/>
        </w:rPr>
        <w:t>。</w:t>
      </w:r>
    </w:p>
    <w:p w:rsidR="00B74091" w:rsidRDefault="00B74091">
      <w:pPr>
        <w:pStyle w:val="a5"/>
        <w:spacing w:before="0" w:beforeAutospacing="0" w:after="0" w:afterAutospacing="0" w:line="520" w:lineRule="exact"/>
        <w:ind w:firstLineChars="200" w:firstLine="964"/>
        <w:jc w:val="both"/>
        <w:rPr>
          <w:rStyle w:val="a6"/>
          <w:rFonts w:ascii="仿宋_GB2312" w:eastAsia="仿宋_GB2312" w:hAnsi="微软雅黑" w:cs="宋体"/>
          <w:color w:val="333333"/>
          <w:sz w:val="48"/>
          <w:szCs w:val="48"/>
        </w:rPr>
      </w:pP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964"/>
        <w:jc w:val="center"/>
        <w:rPr>
          <w:rFonts w:ascii="仿宋_GB2312" w:eastAsia="仿宋_GB2312" w:hAnsi="微软雅黑"/>
          <w:color w:val="333333"/>
          <w:sz w:val="48"/>
          <w:szCs w:val="48"/>
        </w:rPr>
      </w:pPr>
      <w:r>
        <w:rPr>
          <w:rStyle w:val="a6"/>
          <w:rFonts w:ascii="仿宋_GB2312" w:eastAsia="仿宋_GB2312" w:hAnsi="微软雅黑" w:cs="宋体" w:hint="eastAsia"/>
          <w:color w:val="333333"/>
          <w:sz w:val="48"/>
          <w:szCs w:val="48"/>
        </w:rPr>
        <w:t>第四部分名词解释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一、财政拨款收入，指中央财政当年拨付的资金。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二、其它收入，指上述“财政拨款收入”以外的收入，主要是按规定动用的售房收入、存款利息收入等。</w:t>
      </w:r>
    </w:p>
    <w:p w:rsidR="00B74091" w:rsidRDefault="0063344B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三、上年结转，指以前年度尚未完成、结转到本年度仍按原规定用途继续使用的资金。</w:t>
      </w:r>
    </w:p>
    <w:p w:rsidR="00B74091" w:rsidRDefault="00B7409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74091" w:rsidSect="00B7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4B" w:rsidRDefault="0063344B" w:rsidP="006819EE">
      <w:r>
        <w:separator/>
      </w:r>
    </w:p>
  </w:endnote>
  <w:endnote w:type="continuationSeparator" w:id="1">
    <w:p w:rsidR="0063344B" w:rsidRDefault="0063344B" w:rsidP="0068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Î¢ÈíÑÅºÚ Western">
    <w:altName w:val="Arial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4B" w:rsidRDefault="0063344B" w:rsidP="006819EE">
      <w:r>
        <w:separator/>
      </w:r>
    </w:p>
  </w:footnote>
  <w:footnote w:type="continuationSeparator" w:id="1">
    <w:p w:rsidR="0063344B" w:rsidRDefault="0063344B" w:rsidP="00681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6F"/>
    <w:rsid w:val="000779C2"/>
    <w:rsid w:val="000A737C"/>
    <w:rsid w:val="000E1B95"/>
    <w:rsid w:val="001321DB"/>
    <w:rsid w:val="00256FE8"/>
    <w:rsid w:val="00463143"/>
    <w:rsid w:val="00592BD0"/>
    <w:rsid w:val="0063344B"/>
    <w:rsid w:val="006509C3"/>
    <w:rsid w:val="00667F3A"/>
    <w:rsid w:val="006819EE"/>
    <w:rsid w:val="006B00D8"/>
    <w:rsid w:val="00713D4B"/>
    <w:rsid w:val="00891F6F"/>
    <w:rsid w:val="00907E66"/>
    <w:rsid w:val="009E530C"/>
    <w:rsid w:val="00B53BEB"/>
    <w:rsid w:val="00B74091"/>
    <w:rsid w:val="00BB009A"/>
    <w:rsid w:val="00C72C66"/>
    <w:rsid w:val="00D15BBB"/>
    <w:rsid w:val="00D57776"/>
    <w:rsid w:val="00D96D3B"/>
    <w:rsid w:val="00D97B39"/>
    <w:rsid w:val="00EC23A6"/>
    <w:rsid w:val="00FC2FEE"/>
    <w:rsid w:val="395B1EBC"/>
    <w:rsid w:val="46C4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4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B74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74091"/>
    <w:rPr>
      <w:rFonts w:cs="Times New Roman"/>
      <w:b/>
      <w:bCs/>
    </w:rPr>
  </w:style>
  <w:style w:type="character" w:styleId="a7">
    <w:name w:val="Hyperlink"/>
    <w:basedOn w:val="a0"/>
    <w:uiPriority w:val="99"/>
    <w:semiHidden/>
    <w:qFormat/>
    <w:rsid w:val="00B74091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740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4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</Words>
  <Characters>2882</Characters>
  <Application>Microsoft Office Word</Application>
  <DocSecurity>0</DocSecurity>
  <Lines>24</Lines>
  <Paragraphs>6</Paragraphs>
  <ScaleCrop>false</ScaleCrop>
  <Company>china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巴宜区商务局2017年度部门决算</dc:title>
  <dc:creator>Administrator</dc:creator>
  <cp:lastModifiedBy>User</cp:lastModifiedBy>
  <cp:revision>6</cp:revision>
  <dcterms:created xsi:type="dcterms:W3CDTF">2018-08-22T09:15:00Z</dcterms:created>
  <dcterms:modified xsi:type="dcterms:W3CDTF">2022-12-21T11:33:00Z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