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F4CF7">
      <w:pPr>
        <w:spacing w:line="578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林芝市巴宜区八一镇卫生院2024年度部门决算公开报告</w:t>
      </w:r>
    </w:p>
    <w:p w14:paraId="6C2B2D3A">
      <w:pPr>
        <w:spacing w:line="578" w:lineRule="exact"/>
        <w:jc w:val="center"/>
        <w:rPr>
          <w:rFonts w:hint="eastAsia" w:ascii="黑体" w:hAnsi="ˎ̥" w:eastAsia="黑体"/>
          <w:b/>
          <w:sz w:val="32"/>
          <w:szCs w:val="32"/>
        </w:rPr>
      </w:pPr>
    </w:p>
    <w:p w14:paraId="6A8F1018">
      <w:pPr>
        <w:spacing w:line="578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Toc11440_WPSOffice_Type2"/>
      <w:r>
        <w:rPr>
          <w:rFonts w:hint="eastAsia" w:ascii="黑体" w:hAnsi="黑体" w:eastAsia="黑体" w:cs="黑体"/>
          <w:sz w:val="44"/>
          <w:szCs w:val="44"/>
        </w:rPr>
        <w:t>目  录</w:t>
      </w:r>
    </w:p>
    <w:p w14:paraId="6A2F743B">
      <w:pPr>
        <w:pStyle w:val="17"/>
        <w:tabs>
          <w:tab w:val="right" w:leader="dot" w:pos="8306"/>
        </w:tabs>
        <w:spacing w:line="578" w:lineRule="exact"/>
        <w:rPr>
          <w:rFonts w:hint="eastAsia"/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_Toc1704_WPSOffice_Level1 </w:instrText>
      </w:r>
      <w:r>
        <w:rPr>
          <w:sz w:val="32"/>
          <w:szCs w:val="32"/>
        </w:rPr>
        <w:fldChar w:fldCharType="separate"/>
      </w:r>
      <w:r>
        <w:rPr>
          <w:rFonts w:hint="eastAsia" w:ascii="黑体" w:hAnsi="ˎ̥" w:eastAsia="黑体"/>
          <w:sz w:val="32"/>
          <w:szCs w:val="32"/>
        </w:rPr>
        <w:t>第一部分 基本情况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2</w:t>
      </w:r>
    </w:p>
    <w:p w14:paraId="29CBFE79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_Toc20274_WPSOffice_Level2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一、部门（单位）职责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2</w:t>
      </w:r>
    </w:p>
    <w:p w14:paraId="09089809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_Toc4833_WPSOffice_Level2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二、机构设置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2</w:t>
      </w:r>
    </w:p>
    <w:p w14:paraId="3B013F23">
      <w:pPr>
        <w:pStyle w:val="17"/>
        <w:tabs>
          <w:tab w:val="right" w:leader="dot" w:pos="8306"/>
        </w:tabs>
        <w:spacing w:line="578" w:lineRule="exact"/>
        <w:rPr>
          <w:rFonts w:hint="eastAsia"/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_Toc28253_WPSOffice_Level1 </w:instrText>
      </w:r>
      <w:r>
        <w:rPr>
          <w:sz w:val="32"/>
          <w:szCs w:val="32"/>
        </w:rPr>
        <w:fldChar w:fldCharType="separate"/>
      </w:r>
      <w:r>
        <w:rPr>
          <w:rFonts w:hint="eastAsia" w:ascii="黑体" w:hAnsi="ˎ̥" w:eastAsia="黑体"/>
          <w:sz w:val="32"/>
          <w:szCs w:val="32"/>
        </w:rPr>
        <w:t xml:space="preserve">第二部分  </w:t>
      </w:r>
      <w:r>
        <w:rPr>
          <w:rFonts w:hint="default" w:ascii="黑体" w:hAnsi="ˎ̥" w:eastAsia="黑体"/>
          <w:sz w:val="32"/>
          <w:szCs w:val="32"/>
          <w:lang w:val="en-US"/>
        </w:rPr>
        <w:t>2024</w:t>
      </w:r>
      <w:r>
        <w:rPr>
          <w:rFonts w:hint="eastAsia" w:ascii="黑体" w:hAnsi="ˎ̥" w:eastAsia="黑体"/>
          <w:sz w:val="32"/>
          <w:szCs w:val="32"/>
        </w:rPr>
        <w:t>年度部门决算公开表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2</w:t>
      </w:r>
    </w:p>
    <w:p w14:paraId="6E57563D">
      <w:pPr>
        <w:pStyle w:val="17"/>
        <w:tabs>
          <w:tab w:val="right" w:leader="dot" w:pos="8306"/>
        </w:tabs>
        <w:spacing w:line="578" w:lineRule="exact"/>
        <w:rPr>
          <w:rFonts w:hint="eastAsia"/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_Toc27590_WPSOffice_Level1 </w:instrText>
      </w:r>
      <w:r>
        <w:rPr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第三部分</w:t>
      </w:r>
      <w:r>
        <w:rPr>
          <w:rFonts w:hint="eastAsia"/>
          <w:sz w:val="32"/>
          <w:szCs w:val="32"/>
        </w:rPr>
        <w:t xml:space="preserve">  </w:t>
      </w:r>
      <w:r>
        <w:rPr>
          <w:rFonts w:hint="default" w:ascii="黑体" w:hAnsi="ˎ̥" w:eastAsia="黑体"/>
          <w:sz w:val="32"/>
          <w:szCs w:val="32"/>
          <w:lang w:val="en-US"/>
        </w:rPr>
        <w:t>2024</w:t>
      </w:r>
      <w:r>
        <w:rPr>
          <w:rFonts w:hint="eastAsia" w:ascii="黑体" w:hAnsi="ˎ̥" w:eastAsia="黑体"/>
          <w:sz w:val="32"/>
          <w:szCs w:val="32"/>
        </w:rPr>
        <w:t>年度部门决算情况说明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3</w:t>
      </w:r>
    </w:p>
    <w:p w14:paraId="65C40179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_Toc21737_WPSOffice_Level2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一、收入支出总体情况说明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3</w:t>
      </w:r>
    </w:p>
    <w:p w14:paraId="4BD7D57F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_Toc19535_WPSOffice_Level2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二、收入决算情况说明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4</w:t>
      </w:r>
    </w:p>
    <w:p w14:paraId="0C54764D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_Toc19535_WPSOffice_Level2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三、支出决算情况说明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4</w:t>
      </w:r>
    </w:p>
    <w:p w14:paraId="51FC70A3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_Toc19535_WPSOffice_Level2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四、财政拨款收入支出决算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总体</w:t>
      </w:r>
      <w:r>
        <w:rPr>
          <w:rFonts w:hint="eastAsia" w:ascii="仿宋" w:hAnsi="仿宋" w:eastAsia="仿宋" w:cs="仿宋"/>
          <w:bCs/>
          <w:sz w:val="32"/>
          <w:szCs w:val="32"/>
        </w:rPr>
        <w:t>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4</w:t>
      </w:r>
    </w:p>
    <w:p w14:paraId="7A0C8420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_Toc19535_WPSOffice_Level2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五、一般公共预算财政拨款支出决算情况说明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5</w:t>
      </w:r>
    </w:p>
    <w:p w14:paraId="0F3513AE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_Toc19535_WPSOffice_Level2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六、一般公共预算财政拨款基本支出决算情况说明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6</w:t>
      </w:r>
    </w:p>
    <w:p w14:paraId="14C271AC">
      <w:pPr>
        <w:pStyle w:val="18"/>
        <w:numPr>
          <w:ilvl w:val="0"/>
          <w:numId w:val="1"/>
        </w:numPr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政府性基金预算财政拨款支出决算情况说明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7</w:t>
      </w:r>
    </w:p>
    <w:p w14:paraId="341B0484">
      <w:pPr>
        <w:pStyle w:val="18"/>
        <w:numPr>
          <w:ilvl w:val="0"/>
          <w:numId w:val="1"/>
        </w:numPr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国有资本经营预算财政拨款支出决算情况说明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8</w:t>
      </w:r>
    </w:p>
    <w:p w14:paraId="4A5010BD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_Toc19535_WPSOffice_Level2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九、财政拨款“三公”经费支出决算情况说明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9</w:t>
      </w:r>
    </w:p>
    <w:p w14:paraId="23F091F4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_Toc19535_WPSOffice_Level2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十、预算绩效情况说明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11</w:t>
      </w:r>
    </w:p>
    <w:p w14:paraId="11226842">
      <w:pPr>
        <w:pStyle w:val="18"/>
        <w:tabs>
          <w:tab w:val="right" w:leader="dot" w:pos="8306"/>
        </w:tabs>
        <w:spacing w:line="578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十一、其他重要事项情况说明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13</w:t>
      </w:r>
    </w:p>
    <w:p w14:paraId="1704E608">
      <w:pPr>
        <w:pStyle w:val="17"/>
        <w:tabs>
          <w:tab w:val="right" w:leader="dot" w:pos="8306"/>
        </w:tabs>
        <w:spacing w:line="578" w:lineRule="exact"/>
        <w:rPr>
          <w:rFonts w:hint="eastAsia" w:ascii="黑体" w:hAnsi="ˎ̥"/>
          <w:b/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_Toc15425_WPSOffice_Level1 </w:instrText>
      </w:r>
      <w:r>
        <w:rPr>
          <w:sz w:val="32"/>
          <w:szCs w:val="32"/>
        </w:rPr>
        <w:fldChar w:fldCharType="separate"/>
      </w:r>
      <w:r>
        <w:rPr>
          <w:rFonts w:hint="eastAsia" w:ascii="黑体" w:hAnsi="ˎ̥" w:eastAsia="黑体"/>
          <w:sz w:val="32"/>
          <w:szCs w:val="32"/>
        </w:rPr>
        <w:t>第四部分  名词解释</w:t>
      </w:r>
      <w:r>
        <w:rPr>
          <w:sz w:val="32"/>
          <w:szCs w:val="32"/>
        </w:rPr>
        <w:tab/>
      </w:r>
      <w:bookmarkStart w:id="1" w:name="_Toc15425_WPSOffice_Level1Page"/>
      <w:r>
        <w:rPr>
          <w:sz w:val="32"/>
          <w:szCs w:val="32"/>
        </w:rPr>
        <w:t>1</w:t>
      </w:r>
      <w:bookmarkEnd w:id="1"/>
      <w:r>
        <w:rPr>
          <w:sz w:val="32"/>
          <w:szCs w:val="32"/>
        </w:rPr>
        <w:fldChar w:fldCharType="end"/>
      </w:r>
      <w:bookmarkEnd w:id="0"/>
      <w:r>
        <w:rPr>
          <w:rFonts w:hint="eastAsia"/>
          <w:sz w:val="32"/>
          <w:szCs w:val="32"/>
        </w:rPr>
        <w:t>5</w:t>
      </w:r>
    </w:p>
    <w:p w14:paraId="4EC8D6DA">
      <w:pPr>
        <w:spacing w:line="578" w:lineRule="exact"/>
        <w:jc w:val="both"/>
        <w:rPr>
          <w:rFonts w:hint="eastAsia" w:ascii="黑体" w:hAnsi="ˎ̥" w:eastAsia="黑体"/>
          <w:sz w:val="32"/>
          <w:szCs w:val="32"/>
        </w:rPr>
      </w:pPr>
      <w:bookmarkStart w:id="2" w:name="_Toc1704_WPSOffice_Level1"/>
      <w:bookmarkStart w:id="3" w:name="_Toc22941_WPSOffice_Level1"/>
      <w:bookmarkStart w:id="4" w:name="_Toc23465_WPSOffice_Level1"/>
      <w:bookmarkStart w:id="5" w:name="_Toc10049_WPSOffice_Level1"/>
      <w:bookmarkStart w:id="6" w:name="_Toc10720_WPSOffice_Level1"/>
      <w:bookmarkStart w:id="7" w:name="_Toc32433_WPSOffice_Level1"/>
      <w:bookmarkStart w:id="8" w:name="_Toc24238_WPSOffice_Level2"/>
      <w:bookmarkStart w:id="9" w:name="_Toc32622_WPSOffice_Level2"/>
      <w:bookmarkStart w:id="10" w:name="_Toc20274_WPSOffice_Level2"/>
      <w:bookmarkStart w:id="11" w:name="_Toc20205_WPSOffice_Level2"/>
      <w:bookmarkStart w:id="12" w:name="_Toc14159_WPSOffice_Level2"/>
      <w:bookmarkStart w:id="13" w:name="_Toc26580_WPSOffice_Level2"/>
    </w:p>
    <w:p w14:paraId="13495E08">
      <w:pPr>
        <w:spacing w:line="578" w:lineRule="exact"/>
        <w:jc w:val="center"/>
        <w:rPr>
          <w:rFonts w:hint="eastAsia" w:ascii="黑体" w:hAnsi="ˎ̥" w:eastAsia="黑体"/>
          <w:sz w:val="32"/>
          <w:szCs w:val="32"/>
        </w:rPr>
      </w:pPr>
      <w:r>
        <w:rPr>
          <w:rFonts w:hint="eastAsia" w:ascii="黑体" w:hAnsi="ˎ̥" w:eastAsia="黑体"/>
          <w:sz w:val="32"/>
          <w:szCs w:val="32"/>
        </w:rPr>
        <w:t xml:space="preserve">第一部分  </w:t>
      </w:r>
      <w:bookmarkEnd w:id="2"/>
      <w:bookmarkEnd w:id="3"/>
      <w:bookmarkEnd w:id="4"/>
      <w:bookmarkEnd w:id="5"/>
      <w:bookmarkEnd w:id="6"/>
      <w:bookmarkEnd w:id="7"/>
      <w:r>
        <w:rPr>
          <w:rFonts w:hint="eastAsia" w:ascii="黑体" w:hAnsi="ˎ̥" w:eastAsia="黑体"/>
          <w:sz w:val="32"/>
          <w:szCs w:val="32"/>
        </w:rPr>
        <w:t>基本情况</w:t>
      </w:r>
    </w:p>
    <w:p w14:paraId="59DE4DDD">
      <w:pPr>
        <w:spacing w:line="578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</w:p>
    <w:p w14:paraId="4A3D8885">
      <w:pPr>
        <w:numPr>
          <w:ilvl w:val="0"/>
          <w:numId w:val="2"/>
        </w:numPr>
        <w:spacing w:line="578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</w:t>
      </w:r>
      <w:bookmarkEnd w:id="8"/>
      <w:r>
        <w:rPr>
          <w:rFonts w:hint="eastAsia" w:ascii="黑体" w:hAnsi="黑体" w:eastAsia="黑体" w:cs="黑体"/>
          <w:sz w:val="32"/>
          <w:szCs w:val="32"/>
        </w:rPr>
        <w:t>（单位）职责</w:t>
      </w:r>
      <w:bookmarkEnd w:id="9"/>
      <w:bookmarkEnd w:id="10"/>
      <w:bookmarkEnd w:id="11"/>
      <w:bookmarkEnd w:id="12"/>
      <w:bookmarkEnd w:id="13"/>
    </w:p>
    <w:p w14:paraId="30210431">
      <w:pPr>
        <w:spacing w:line="578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负责基本医疗保健和优生优育技术服务等工作;负责疾病预防控制工作,执行儿童计划免疫;执行农村医疗保险政策,做好政策宣传、监督及服务工作。</w:t>
      </w:r>
    </w:p>
    <w:p w14:paraId="0680DACE">
      <w:pPr>
        <w:spacing w:line="578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14" w:name="_Toc6572_WPSOffice_Level2"/>
      <w:bookmarkStart w:id="15" w:name="_Toc24474_WPSOffice_Level2"/>
      <w:bookmarkStart w:id="16" w:name="_Toc4833_WPSOffice_Level2"/>
      <w:bookmarkStart w:id="17" w:name="_Toc17796_WPSOffice_Level2"/>
      <w:bookmarkStart w:id="18" w:name="_Toc24059_WPSOffice_Level2"/>
      <w:r>
        <w:rPr>
          <w:rFonts w:hint="eastAsia" w:ascii="黑体" w:hAnsi="黑体" w:eastAsia="黑体" w:cs="黑体"/>
          <w:sz w:val="32"/>
          <w:szCs w:val="32"/>
        </w:rPr>
        <w:t>二、机构设置</w:t>
      </w:r>
      <w:bookmarkEnd w:id="14"/>
      <w:bookmarkEnd w:id="15"/>
      <w:bookmarkEnd w:id="16"/>
      <w:bookmarkEnd w:id="17"/>
      <w:bookmarkEnd w:id="18"/>
    </w:p>
    <w:p w14:paraId="6CEC4B70">
      <w:pPr>
        <w:spacing w:line="578" w:lineRule="exact"/>
        <w:ind w:firstLine="640" w:firstLineChars="200"/>
        <w:rPr>
          <w:rFonts w:hint="eastAsia" w:ascii="仿宋_GB2312" w:hAnsi="ˎ̥" w:eastAsia="仿宋_GB2312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/>
          <w:sz w:val="32"/>
          <w:szCs w:val="32"/>
        </w:rPr>
        <w:t>纳入</w:t>
      </w:r>
      <w:r>
        <w:rPr>
          <w:rFonts w:hint="default" w:ascii="仿宋_GB2312" w:hAnsi="ˎ̥" w:eastAsia="仿宋_GB2312"/>
          <w:sz w:val="32"/>
          <w:szCs w:val="32"/>
          <w:lang w:val="en-US"/>
        </w:rPr>
        <w:t>2024</w:t>
      </w:r>
      <w:r>
        <w:rPr>
          <w:rFonts w:hint="eastAsia" w:ascii="仿宋_GB2312" w:hAnsi="ˎ̥" w:eastAsia="仿宋_GB2312"/>
          <w:sz w:val="32"/>
          <w:szCs w:val="32"/>
        </w:rPr>
        <w:t>年度部门决算编制范围的单位共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ˎ̥" w:eastAsia="仿宋_GB2312"/>
          <w:sz w:val="32"/>
          <w:szCs w:val="32"/>
        </w:rPr>
        <w:t>个，包括：</w:t>
      </w:r>
      <w:bookmarkStart w:id="19" w:name="_Toc25738_WPSOffice_Level2"/>
      <w:bookmarkStart w:id="20" w:name="_Toc24421_WPSOffice_Level2"/>
      <w:r>
        <w:rPr>
          <w:rFonts w:hint="eastAsia" w:ascii="仿宋_GB2312" w:hAnsi="ˎ̥" w:eastAsia="仿宋_GB2312"/>
          <w:sz w:val="32"/>
          <w:szCs w:val="32"/>
          <w:lang w:val="en-US" w:eastAsia="zh-CN"/>
        </w:rPr>
        <w:t>林芝市</w:t>
      </w:r>
      <w:bookmarkStart w:id="103" w:name="_GoBack"/>
      <w:bookmarkEnd w:id="103"/>
      <w:r>
        <w:rPr>
          <w:rFonts w:hint="eastAsia" w:ascii="仿宋_GB2312" w:hAnsi="ˎ̥" w:eastAsia="仿宋_GB2312"/>
          <w:sz w:val="32"/>
          <w:szCs w:val="32"/>
          <w:lang w:val="en-US" w:eastAsia="zh-CN"/>
        </w:rPr>
        <w:t>巴宜区八一镇卫生院</w:t>
      </w:r>
      <w:bookmarkEnd w:id="19"/>
      <w:bookmarkEnd w:id="20"/>
      <w:r>
        <w:rPr>
          <w:rFonts w:hint="eastAsia" w:ascii="仿宋_GB2312" w:hAnsi="ˎ̥" w:eastAsia="仿宋_GB2312"/>
          <w:sz w:val="32"/>
          <w:szCs w:val="32"/>
          <w:lang w:val="en-US" w:eastAsia="zh-CN"/>
        </w:rPr>
        <w:t>。</w:t>
      </w:r>
    </w:p>
    <w:p w14:paraId="149848AF">
      <w:pPr>
        <w:spacing w:line="578" w:lineRule="exact"/>
        <w:jc w:val="center"/>
        <w:rPr>
          <w:rFonts w:hint="eastAsia" w:ascii="黑体" w:hAnsi="ˎ̥" w:eastAsia="黑体"/>
          <w:sz w:val="32"/>
          <w:szCs w:val="32"/>
        </w:rPr>
      </w:pPr>
      <w:bookmarkStart w:id="21" w:name="_Toc28253_WPSOffice_Level1"/>
      <w:bookmarkStart w:id="22" w:name="_Toc30451_WPSOffice_Level1"/>
      <w:bookmarkStart w:id="23" w:name="_Toc6234_WPSOffice_Level1"/>
      <w:bookmarkStart w:id="24" w:name="_Toc15521_WPSOffice_Level1"/>
      <w:bookmarkStart w:id="25" w:name="_Toc30690_WPSOffice_Level1"/>
      <w:bookmarkStart w:id="26" w:name="_Toc8164_WPSOffice_Level1"/>
      <w:bookmarkStart w:id="27" w:name="_Toc32695_WPSOffice_Level2"/>
      <w:bookmarkStart w:id="28" w:name="_Toc8867_WPSOffice_Level2"/>
      <w:bookmarkStart w:id="29" w:name="_Toc6211_WPSOffice_Level2"/>
      <w:bookmarkStart w:id="30" w:name="_Toc4029_WPSOffice_Level2"/>
      <w:bookmarkStart w:id="31" w:name="_Toc32472_WPSOffice_Level2"/>
      <w:bookmarkStart w:id="32" w:name="_Toc11518_WPSOffice_Level2"/>
    </w:p>
    <w:p w14:paraId="5ABA64D5">
      <w:pPr>
        <w:spacing w:line="578" w:lineRule="exact"/>
        <w:jc w:val="center"/>
        <w:rPr>
          <w:rFonts w:hint="eastAsia" w:ascii="黑体" w:hAnsi="ˎ̥" w:eastAsia="黑体"/>
          <w:sz w:val="32"/>
          <w:szCs w:val="32"/>
        </w:rPr>
      </w:pPr>
      <w:r>
        <w:rPr>
          <w:rFonts w:hint="eastAsia" w:ascii="黑体" w:hAnsi="ˎ̥" w:eastAsia="黑体"/>
          <w:sz w:val="32"/>
          <w:szCs w:val="32"/>
        </w:rPr>
        <w:t xml:space="preserve">第二部分  </w:t>
      </w:r>
      <w:r>
        <w:rPr>
          <w:rFonts w:hint="default" w:ascii="黑体" w:hAnsi="ˎ̥" w:eastAsia="黑体"/>
          <w:sz w:val="32"/>
          <w:szCs w:val="32"/>
          <w:lang w:val="en-US"/>
        </w:rPr>
        <w:t>2024</w:t>
      </w:r>
      <w:r>
        <w:rPr>
          <w:rFonts w:hint="eastAsia" w:ascii="黑体" w:hAnsi="ˎ̥" w:eastAsia="黑体"/>
          <w:sz w:val="32"/>
          <w:szCs w:val="32"/>
        </w:rPr>
        <w:t>年度部门决算公开报表</w:t>
      </w:r>
      <w:bookmarkEnd w:id="21"/>
      <w:bookmarkEnd w:id="22"/>
      <w:bookmarkEnd w:id="23"/>
      <w:bookmarkEnd w:id="24"/>
      <w:bookmarkEnd w:id="25"/>
      <w:bookmarkEnd w:id="26"/>
    </w:p>
    <w:p w14:paraId="1A7D1292">
      <w:pPr>
        <w:spacing w:line="578" w:lineRule="exact"/>
        <w:ind w:firstLine="645"/>
        <w:rPr>
          <w:rFonts w:hint="eastAsia" w:ascii="黑体" w:hAnsi="黑体" w:eastAsia="黑体" w:cs="黑体"/>
          <w:sz w:val="32"/>
          <w:szCs w:val="32"/>
        </w:rPr>
      </w:pPr>
    </w:p>
    <w:p w14:paraId="4609FEC3">
      <w:pPr>
        <w:spacing w:line="578" w:lineRule="exact"/>
        <w:ind w:firstLine="64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一、收入支出决算公开表</w:t>
      </w:r>
      <w:bookmarkEnd w:id="27"/>
      <w:bookmarkEnd w:id="28"/>
      <w:bookmarkEnd w:id="29"/>
      <w:bookmarkEnd w:id="30"/>
      <w:bookmarkEnd w:id="31"/>
      <w:bookmarkEnd w:id="32"/>
    </w:p>
    <w:p w14:paraId="646AEC68">
      <w:pPr>
        <w:spacing w:line="578" w:lineRule="exact"/>
        <w:ind w:firstLine="645"/>
        <w:rPr>
          <w:rFonts w:hint="eastAsia" w:ascii="黑体" w:hAnsi="黑体" w:eastAsia="黑体" w:cs="黑体"/>
          <w:sz w:val="32"/>
          <w:szCs w:val="32"/>
        </w:rPr>
      </w:pPr>
      <w:bookmarkStart w:id="33" w:name="_Toc26621_WPSOffice_Level2"/>
      <w:bookmarkStart w:id="34" w:name="_Toc23139_WPSOffice_Level2"/>
      <w:bookmarkStart w:id="35" w:name="_Toc25608_WPSOffice_Level2"/>
      <w:bookmarkStart w:id="36" w:name="_Toc30334_WPSOffice_Level2"/>
      <w:bookmarkStart w:id="37" w:name="_Toc28622_WPSOffice_Level2"/>
      <w:bookmarkStart w:id="38" w:name="_Toc14349_WPSOffice_Level2"/>
      <w:r>
        <w:rPr>
          <w:rFonts w:hint="eastAsia" w:ascii="黑体" w:hAnsi="黑体" w:eastAsia="黑体" w:cs="黑体"/>
          <w:sz w:val="32"/>
          <w:szCs w:val="32"/>
        </w:rPr>
        <w:t>二、收入决算公开表</w:t>
      </w:r>
      <w:bookmarkEnd w:id="33"/>
      <w:bookmarkEnd w:id="34"/>
      <w:bookmarkEnd w:id="35"/>
      <w:bookmarkEnd w:id="36"/>
      <w:bookmarkEnd w:id="37"/>
      <w:bookmarkEnd w:id="38"/>
      <w:bookmarkStart w:id="39" w:name="_Toc17626_WPSOffice_Level2"/>
      <w:bookmarkStart w:id="40" w:name="_Toc17858_WPSOffice_Level2"/>
      <w:bookmarkStart w:id="41" w:name="_Toc5489_WPSOffice_Level2"/>
      <w:bookmarkStart w:id="42" w:name="_Toc3262_WPSOffice_Level2"/>
      <w:bookmarkStart w:id="43" w:name="_Toc13854_WPSOffice_Level2"/>
      <w:bookmarkStart w:id="44" w:name="_Toc14658_WPSOffice_Level2"/>
    </w:p>
    <w:p w14:paraId="2D43FEAF">
      <w:pPr>
        <w:spacing w:line="578" w:lineRule="exact"/>
        <w:ind w:firstLine="64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三、支出决算公开表</w:t>
      </w:r>
      <w:bookmarkEnd w:id="39"/>
      <w:bookmarkEnd w:id="40"/>
      <w:bookmarkEnd w:id="41"/>
      <w:bookmarkEnd w:id="42"/>
      <w:bookmarkEnd w:id="43"/>
      <w:bookmarkEnd w:id="44"/>
      <w:bookmarkStart w:id="45" w:name="_Toc23591_WPSOffice_Level2"/>
      <w:bookmarkStart w:id="46" w:name="_Toc4265_WPSOffice_Level2"/>
      <w:bookmarkStart w:id="47" w:name="_Toc23493_WPSOffice_Level2"/>
      <w:bookmarkStart w:id="48" w:name="_Toc7988_WPSOffice_Level2"/>
      <w:bookmarkStart w:id="49" w:name="_Toc13701_WPSOffice_Level2"/>
      <w:bookmarkStart w:id="50" w:name="_Toc21415_WPSOffice_Level2"/>
    </w:p>
    <w:p w14:paraId="466CE0B2">
      <w:pPr>
        <w:spacing w:line="578" w:lineRule="exact"/>
        <w:ind w:firstLine="64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四、财政拨款收入支出决算公开表</w:t>
      </w:r>
      <w:bookmarkEnd w:id="45"/>
      <w:bookmarkEnd w:id="46"/>
      <w:bookmarkEnd w:id="47"/>
      <w:bookmarkEnd w:id="48"/>
      <w:bookmarkEnd w:id="49"/>
      <w:bookmarkEnd w:id="50"/>
    </w:p>
    <w:p w14:paraId="1CA1AAB7">
      <w:pPr>
        <w:spacing w:line="578" w:lineRule="exact"/>
        <w:ind w:firstLine="645"/>
        <w:rPr>
          <w:rFonts w:hint="eastAsia" w:ascii="黑体" w:hAnsi="黑体" w:eastAsia="黑体" w:cs="黑体"/>
          <w:sz w:val="32"/>
          <w:szCs w:val="32"/>
        </w:rPr>
      </w:pPr>
      <w:bookmarkStart w:id="51" w:name="_Toc7879_WPSOffice_Level2"/>
      <w:bookmarkStart w:id="52" w:name="_Toc25166_WPSOffice_Level2"/>
      <w:bookmarkStart w:id="53" w:name="_Toc22783_WPSOffice_Level2"/>
      <w:bookmarkStart w:id="54" w:name="_Toc23829_WPSOffice_Level2"/>
      <w:bookmarkStart w:id="55" w:name="_Toc13516_WPSOffice_Level2"/>
      <w:bookmarkStart w:id="56" w:name="_Toc2158_WPSOffice_Level2"/>
      <w:r>
        <w:rPr>
          <w:rFonts w:hint="eastAsia" w:ascii="黑体" w:hAnsi="黑体" w:eastAsia="黑体" w:cs="黑体"/>
          <w:sz w:val="32"/>
          <w:szCs w:val="32"/>
        </w:rPr>
        <w:t>五、一般公共预算财政拨款收入支出决算</w:t>
      </w:r>
      <w:bookmarkEnd w:id="51"/>
      <w:bookmarkEnd w:id="52"/>
      <w:bookmarkEnd w:id="53"/>
      <w:bookmarkEnd w:id="54"/>
      <w:r>
        <w:rPr>
          <w:rFonts w:hint="eastAsia" w:ascii="黑体" w:hAnsi="黑体" w:eastAsia="黑体" w:cs="黑体"/>
          <w:sz w:val="32"/>
          <w:szCs w:val="32"/>
        </w:rPr>
        <w:t>公开表</w:t>
      </w:r>
      <w:bookmarkEnd w:id="55"/>
      <w:bookmarkEnd w:id="56"/>
      <w:bookmarkStart w:id="57" w:name="_Toc25362_WPSOffice_Level2"/>
      <w:bookmarkStart w:id="58" w:name="_Toc17283_WPSOffice_Level2"/>
      <w:bookmarkStart w:id="59" w:name="_Toc17833_WPSOffice_Level2"/>
      <w:bookmarkStart w:id="60" w:name="_Toc8373_WPSOffice_Level2"/>
      <w:bookmarkStart w:id="61" w:name="_Toc5343_WPSOffice_Level2"/>
      <w:bookmarkStart w:id="62" w:name="_Toc2632_WPSOffice_Level2"/>
    </w:p>
    <w:p w14:paraId="163493D2">
      <w:pPr>
        <w:spacing w:line="578" w:lineRule="exact"/>
        <w:ind w:firstLine="64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六、一般公共预算财政拨款基本支出决算</w:t>
      </w:r>
      <w:bookmarkEnd w:id="57"/>
      <w:bookmarkEnd w:id="58"/>
      <w:bookmarkEnd w:id="59"/>
      <w:bookmarkEnd w:id="60"/>
      <w:bookmarkEnd w:id="61"/>
      <w:bookmarkEnd w:id="62"/>
      <w:r>
        <w:rPr>
          <w:rFonts w:hint="eastAsia" w:ascii="黑体" w:hAnsi="黑体" w:eastAsia="黑体" w:cs="黑体"/>
          <w:sz w:val="32"/>
          <w:szCs w:val="32"/>
        </w:rPr>
        <w:t>公开表</w:t>
      </w:r>
    </w:p>
    <w:p w14:paraId="11250B0D">
      <w:pPr>
        <w:spacing w:line="578" w:lineRule="exact"/>
        <w:ind w:left="1118" w:leftChars="304" w:hanging="480" w:hangingChars="150"/>
        <w:rPr>
          <w:rFonts w:hint="eastAsia" w:ascii="黑体" w:hAnsi="黑体" w:eastAsia="黑体" w:cs="黑体"/>
          <w:sz w:val="32"/>
          <w:szCs w:val="32"/>
        </w:rPr>
      </w:pPr>
      <w:bookmarkStart w:id="63" w:name="_Toc21310_WPSOffice_Level2"/>
      <w:bookmarkStart w:id="64" w:name="_Toc13345_WPSOffice_Level2"/>
      <w:bookmarkStart w:id="65" w:name="_Toc1533_WPSOffice_Level2"/>
      <w:bookmarkStart w:id="66" w:name="_Toc11799_WPSOffice_Level2"/>
      <w:bookmarkStart w:id="67" w:name="_Toc5594_WPSOffice_Level2"/>
      <w:bookmarkStart w:id="68" w:name="_Toc6020_WPSOffice_Level2"/>
      <w:r>
        <w:rPr>
          <w:rFonts w:hint="eastAsia" w:ascii="黑体" w:hAnsi="黑体" w:eastAsia="黑体" w:cs="黑体"/>
          <w:sz w:val="32"/>
          <w:szCs w:val="32"/>
        </w:rPr>
        <w:t>七、政府性基金预算财政拨款收入支出决算</w:t>
      </w:r>
      <w:bookmarkEnd w:id="63"/>
      <w:bookmarkEnd w:id="64"/>
      <w:bookmarkEnd w:id="65"/>
      <w:bookmarkEnd w:id="66"/>
      <w:bookmarkEnd w:id="67"/>
      <w:bookmarkEnd w:id="68"/>
      <w:r>
        <w:rPr>
          <w:rFonts w:hint="eastAsia" w:ascii="黑体" w:hAnsi="黑体" w:eastAsia="黑体" w:cs="黑体"/>
          <w:sz w:val="32"/>
          <w:szCs w:val="32"/>
        </w:rPr>
        <w:t>公开表</w:t>
      </w:r>
    </w:p>
    <w:p w14:paraId="33B6C1DC">
      <w:pPr>
        <w:spacing w:line="578" w:lineRule="exact"/>
        <w:ind w:left="1118" w:leftChars="304" w:hanging="480" w:hangingChars="1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八、国有资本经营预算财政拨款收入支出决算公开表</w:t>
      </w:r>
    </w:p>
    <w:p w14:paraId="6225979D">
      <w:pPr>
        <w:spacing w:line="578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bookmarkStart w:id="69" w:name="_Toc1820_WPSOffice_Level2"/>
      <w:bookmarkStart w:id="70" w:name="_Toc9377_WPSOffice_Level2"/>
      <w:bookmarkStart w:id="71" w:name="_Toc19961_WPSOffice_Level2"/>
      <w:bookmarkStart w:id="72" w:name="_Toc29886_WPSOffice_Level2"/>
      <w:r>
        <w:rPr>
          <w:rFonts w:hint="eastAsia" w:ascii="黑体" w:hAnsi="黑体" w:eastAsia="黑体" w:cs="黑体"/>
          <w:sz w:val="32"/>
          <w:szCs w:val="32"/>
        </w:rPr>
        <w:t>九、财政拨款“三公”经费支出决算</w:t>
      </w:r>
      <w:bookmarkEnd w:id="69"/>
      <w:bookmarkEnd w:id="70"/>
      <w:bookmarkEnd w:id="71"/>
      <w:bookmarkEnd w:id="72"/>
      <w:r>
        <w:rPr>
          <w:rFonts w:hint="eastAsia" w:ascii="黑体" w:hAnsi="黑体" w:eastAsia="黑体" w:cs="黑体"/>
          <w:sz w:val="32"/>
          <w:szCs w:val="32"/>
        </w:rPr>
        <w:t>公开表</w:t>
      </w:r>
    </w:p>
    <w:p w14:paraId="752E8721">
      <w:pPr>
        <w:spacing w:line="578" w:lineRule="exact"/>
        <w:ind w:firstLine="640"/>
        <w:rPr>
          <w:rFonts w:hint="eastAsia" w:ascii="仿宋" w:hAnsi="仿宋" w:eastAsia="仿宋" w:cs="仿宋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</w:rPr>
        <w:t xml:space="preserve">以上报表见附件1。   </w:t>
      </w:r>
    </w:p>
    <w:p w14:paraId="5B482E07">
      <w:pPr>
        <w:spacing w:line="578" w:lineRule="exact"/>
        <w:rPr>
          <w:rFonts w:hint="eastAsia" w:ascii="黑体" w:hAnsi="黑体" w:eastAsia="黑体" w:cs="黑体"/>
          <w:sz w:val="32"/>
          <w:szCs w:val="32"/>
        </w:rPr>
      </w:pPr>
    </w:p>
    <w:p w14:paraId="31BF6332">
      <w:pPr>
        <w:spacing w:line="578" w:lineRule="exact"/>
        <w:jc w:val="center"/>
        <w:rPr>
          <w:rFonts w:hint="eastAsia" w:ascii="黑体" w:hAnsi="ˎ̥" w:eastAsia="黑体"/>
          <w:sz w:val="32"/>
          <w:szCs w:val="32"/>
        </w:rPr>
      </w:pPr>
      <w:bookmarkStart w:id="73" w:name="_Toc27590_WPSOffice_Level1"/>
      <w:bookmarkStart w:id="74" w:name="_Toc4402_WPSOffice_Level1"/>
      <w:bookmarkStart w:id="75" w:name="_Toc28629_WPSOffice_Level1"/>
      <w:bookmarkStart w:id="76" w:name="_Toc16686_WPSOffice_Level1"/>
      <w:bookmarkStart w:id="77" w:name="_Toc29683_WPSOffice_Level1"/>
      <w:bookmarkStart w:id="78" w:name="_Toc31264_WPSOffice_Level1"/>
      <w:r>
        <w:rPr>
          <w:rFonts w:hint="eastAsia" w:ascii="黑体" w:hAnsi="ˎ̥" w:eastAsia="黑体"/>
          <w:sz w:val="32"/>
          <w:szCs w:val="32"/>
        </w:rPr>
        <w:t xml:space="preserve">第三部分  </w:t>
      </w:r>
      <w:r>
        <w:rPr>
          <w:rFonts w:hint="default" w:ascii="黑体" w:hAnsi="ˎ̥" w:eastAsia="黑体"/>
          <w:sz w:val="32"/>
          <w:szCs w:val="32"/>
          <w:lang w:val="en-US"/>
        </w:rPr>
        <w:t>2024</w:t>
      </w:r>
      <w:r>
        <w:rPr>
          <w:rFonts w:hint="eastAsia" w:ascii="黑体" w:hAnsi="ˎ̥" w:eastAsia="黑体"/>
          <w:sz w:val="32"/>
          <w:szCs w:val="32"/>
        </w:rPr>
        <w:t>年度部门决算情况说明</w:t>
      </w:r>
      <w:bookmarkEnd w:id="73"/>
      <w:bookmarkEnd w:id="74"/>
      <w:bookmarkEnd w:id="75"/>
      <w:bookmarkEnd w:id="76"/>
      <w:bookmarkEnd w:id="77"/>
      <w:bookmarkEnd w:id="78"/>
    </w:p>
    <w:p w14:paraId="0108672B">
      <w:pPr>
        <w:spacing w:line="578" w:lineRule="exact"/>
        <w:jc w:val="center"/>
        <w:rPr>
          <w:rFonts w:hint="eastAsia" w:ascii="黑体" w:hAnsi="ˎ̥" w:eastAsia="黑体"/>
          <w:sz w:val="32"/>
          <w:szCs w:val="32"/>
        </w:rPr>
      </w:pPr>
    </w:p>
    <w:p w14:paraId="1051B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ˎ̥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一、收入支出总体情况说明</w:t>
      </w:r>
      <w:r>
        <w:rPr>
          <w:rFonts w:hint="eastAsia" w:ascii="黑体" w:hAnsi="黑体" w:eastAsia="黑体" w:cs="黑体"/>
          <w:bCs/>
          <w:sz w:val="32"/>
          <w:szCs w:val="32"/>
        </w:rPr>
        <w:br w:type="textWrapping"/>
      </w:r>
      <w:r>
        <w:rPr>
          <w:rFonts w:hint="eastAsia" w:ascii="楷体_GB2312" w:hAnsi="ˎ̥" w:eastAsia="楷体_GB2312"/>
          <w:sz w:val="32"/>
          <w:szCs w:val="32"/>
        </w:rPr>
        <w:t xml:space="preserve">    </w:t>
      </w:r>
      <w:r>
        <w:rPr>
          <w:rFonts w:hint="default" w:ascii="仿宋_GB2312" w:hAnsi="ˎ̥" w:eastAsia="仿宋_GB2312"/>
          <w:sz w:val="32"/>
          <w:szCs w:val="32"/>
          <w:lang w:val="en-US"/>
        </w:rPr>
        <w:t>2024</w:t>
      </w:r>
      <w:r>
        <w:rPr>
          <w:rFonts w:hint="eastAsia" w:ascii="仿宋_GB2312" w:hAnsi="ˎ̥" w:eastAsia="仿宋_GB2312"/>
          <w:sz w:val="32"/>
          <w:szCs w:val="32"/>
        </w:rPr>
        <w:t>年度收入总计</w:t>
      </w:r>
      <w:r>
        <w:rPr>
          <w:rFonts w:hint="default" w:ascii="仿宋_GB2312" w:hAnsi="ˎ̥" w:eastAsia="仿宋_GB2312"/>
          <w:sz w:val="32"/>
          <w:szCs w:val="32"/>
          <w:lang w:val="en-US"/>
        </w:rPr>
        <w:t>311.2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/>
          <w:sz w:val="32"/>
          <w:szCs w:val="32"/>
        </w:rPr>
        <w:t>万元，支出总计</w:t>
      </w:r>
      <w:r>
        <w:rPr>
          <w:rFonts w:hint="default" w:ascii="仿宋_GB2312" w:hAnsi="ˎ̥" w:eastAsia="仿宋_GB2312"/>
          <w:sz w:val="32"/>
          <w:szCs w:val="32"/>
          <w:lang w:val="en-US"/>
        </w:rPr>
        <w:t>311.2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/>
          <w:sz w:val="32"/>
          <w:szCs w:val="32"/>
        </w:rPr>
        <w:t>万元，与</w:t>
      </w:r>
      <w:r>
        <w:rPr>
          <w:rFonts w:hint="default" w:ascii="仿宋_GB2312" w:hAnsi="ˎ̥" w:eastAsia="仿宋_GB2312"/>
          <w:sz w:val="32"/>
          <w:szCs w:val="32"/>
          <w:lang w:val="en-US"/>
        </w:rPr>
        <w:t>2023</w:t>
      </w:r>
      <w:r>
        <w:rPr>
          <w:rFonts w:hint="eastAsia" w:ascii="仿宋_GB2312" w:hAnsi="ˎ̥" w:eastAsia="仿宋_GB2312"/>
          <w:sz w:val="32"/>
          <w:szCs w:val="32"/>
        </w:rPr>
        <w:t>年度相比收入、支出总计各减少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2.73</w:t>
      </w:r>
      <w:r>
        <w:rPr>
          <w:rFonts w:hint="eastAsia" w:ascii="仿宋_GB2312" w:hAnsi="ˎ̥" w:eastAsia="仿宋_GB2312"/>
          <w:sz w:val="32"/>
          <w:szCs w:val="32"/>
        </w:rPr>
        <w:t>万元，下降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0.88</w:t>
      </w:r>
      <w:r>
        <w:rPr>
          <w:rFonts w:hint="eastAsia" w:ascii="仿宋_GB2312" w:hAnsi="ˎ̥" w:eastAsia="仿宋_GB2312"/>
          <w:sz w:val="32"/>
          <w:szCs w:val="32"/>
        </w:rPr>
        <w:t>%。主要原因：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主要原因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是年末结转事业收入。</w:t>
      </w:r>
    </w:p>
    <w:p w14:paraId="05B8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</w:t>
      </w:r>
      <w:r>
        <w:rPr>
          <w:rFonts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收入</w:t>
      </w:r>
      <w:r>
        <w:rPr>
          <w:rFonts w:ascii="楷体" w:hAnsi="楷体" w:eastAsia="楷体" w:cs="楷体"/>
          <w:sz w:val="32"/>
          <w:szCs w:val="32"/>
        </w:rPr>
        <w:t>总计</w:t>
      </w:r>
      <w:r>
        <w:rPr>
          <w:rFonts w:hint="eastAsia" w:ascii="楷体" w:hAnsi="楷体" w:eastAsia="楷体" w:cs="楷体"/>
          <w:sz w:val="32"/>
          <w:szCs w:val="32"/>
        </w:rPr>
        <w:t>主要</w:t>
      </w:r>
      <w:r>
        <w:rPr>
          <w:rFonts w:ascii="楷体" w:hAnsi="楷体" w:eastAsia="楷体" w:cs="楷体"/>
          <w:sz w:val="32"/>
          <w:szCs w:val="32"/>
        </w:rPr>
        <w:t>构成</w:t>
      </w:r>
    </w:p>
    <w:p w14:paraId="596A4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本年收入</w:t>
      </w:r>
      <w:r>
        <w:rPr>
          <w:rFonts w:hint="default" w:ascii="仿宋_GB2312" w:hAnsi="ˎ̥" w:eastAsia="仿宋_GB2312"/>
          <w:sz w:val="32"/>
          <w:szCs w:val="32"/>
          <w:lang w:val="en-US"/>
        </w:rPr>
        <w:t>311.2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/>
          <w:sz w:val="32"/>
          <w:szCs w:val="32"/>
        </w:rPr>
        <w:t>万元。</w:t>
      </w:r>
    </w:p>
    <w:p w14:paraId="5B281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年初结转结余</w:t>
      </w:r>
      <w:r>
        <w:rPr>
          <w:rFonts w:hint="default" w:ascii="仿宋_GB2312" w:hAnsi="ˎ̥" w:eastAsia="仿宋_GB2312"/>
          <w:sz w:val="32"/>
          <w:szCs w:val="32"/>
          <w:lang w:val="en-US"/>
        </w:rPr>
        <w:t>0.00</w:t>
      </w:r>
      <w:r>
        <w:rPr>
          <w:rFonts w:hint="eastAsia" w:ascii="仿宋_GB2312" w:hAnsi="ˎ̥" w:eastAsia="仿宋_GB2312"/>
          <w:sz w:val="32"/>
          <w:szCs w:val="32"/>
        </w:rPr>
        <w:t>万元。</w:t>
      </w:r>
    </w:p>
    <w:p w14:paraId="74FAD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（二</w:t>
      </w:r>
      <w:r>
        <w:rPr>
          <w:rFonts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支出</w:t>
      </w:r>
      <w:r>
        <w:rPr>
          <w:rFonts w:ascii="楷体" w:hAnsi="楷体" w:eastAsia="楷体" w:cs="楷体"/>
          <w:sz w:val="32"/>
          <w:szCs w:val="32"/>
        </w:rPr>
        <w:t>总计</w:t>
      </w:r>
      <w:r>
        <w:rPr>
          <w:rFonts w:hint="eastAsia" w:ascii="楷体" w:hAnsi="楷体" w:eastAsia="楷体" w:cs="楷体"/>
          <w:sz w:val="32"/>
          <w:szCs w:val="32"/>
        </w:rPr>
        <w:t>主要</w:t>
      </w:r>
      <w:r>
        <w:rPr>
          <w:rFonts w:ascii="楷体" w:hAnsi="楷体" w:eastAsia="楷体" w:cs="楷体"/>
          <w:sz w:val="32"/>
          <w:szCs w:val="32"/>
        </w:rPr>
        <w:t>构成</w:t>
      </w:r>
    </w:p>
    <w:p w14:paraId="788E8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本年支出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295.01</w:t>
      </w:r>
      <w:r>
        <w:rPr>
          <w:rFonts w:hint="eastAsia" w:ascii="仿宋_GB2312" w:hAnsi="ˎ̥" w:eastAsia="仿宋_GB2312"/>
          <w:sz w:val="32"/>
          <w:szCs w:val="32"/>
        </w:rPr>
        <w:t>万元。</w:t>
      </w:r>
    </w:p>
    <w:p w14:paraId="38268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ˎ̥" w:eastAsia="仿宋_GB2312"/>
          <w:sz w:val="32"/>
          <w:szCs w:val="32"/>
        </w:rPr>
        <w:t>结余分配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。</w:t>
      </w:r>
    </w:p>
    <w:p w14:paraId="33C8A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年末结转结余</w:t>
      </w:r>
      <w:r>
        <w:rPr>
          <w:rFonts w:hint="default" w:ascii="仿宋_GB2312" w:hAnsi="ˎ̥" w:eastAsia="仿宋_GB2312"/>
          <w:sz w:val="32"/>
          <w:szCs w:val="32"/>
          <w:lang w:val="en-US"/>
        </w:rPr>
        <w:t>16.2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/>
          <w:sz w:val="32"/>
          <w:szCs w:val="32"/>
        </w:rPr>
        <w:t>万元，主要是2024年货币资金16.2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/>
          <w:sz w:val="32"/>
          <w:szCs w:val="32"/>
        </w:rPr>
        <w:t>万元，较</w:t>
      </w:r>
      <w:r>
        <w:rPr>
          <w:rFonts w:hint="default" w:ascii="仿宋_GB2312" w:hAnsi="ˎ̥" w:eastAsia="仿宋_GB2312"/>
          <w:sz w:val="32"/>
          <w:szCs w:val="32"/>
          <w:lang w:val="en-US"/>
        </w:rPr>
        <w:t>2023</w:t>
      </w:r>
      <w:r>
        <w:rPr>
          <w:rFonts w:hint="eastAsia" w:ascii="仿宋_GB2312" w:hAnsi="ˎ̥" w:eastAsia="仿宋_GB2312"/>
          <w:sz w:val="32"/>
          <w:szCs w:val="32"/>
        </w:rPr>
        <w:t>年度决算数增加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16.24</w:t>
      </w:r>
      <w:r>
        <w:rPr>
          <w:rFonts w:hint="eastAsia" w:ascii="仿宋_GB2312" w:hAnsi="ˎ̥" w:eastAsia="仿宋_GB2312"/>
          <w:sz w:val="32"/>
          <w:szCs w:val="32"/>
        </w:rPr>
        <w:t>万元，增长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ˎ̥" w:eastAsia="仿宋_GB2312"/>
          <w:sz w:val="32"/>
          <w:szCs w:val="32"/>
        </w:rPr>
        <w:t>%，主要原因是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2024年新成立卫生院基本户</w:t>
      </w:r>
      <w:r>
        <w:rPr>
          <w:rFonts w:hint="eastAsia" w:ascii="仿宋_GB2312" w:hAnsi="ˎ̥" w:eastAsia="仿宋_GB2312"/>
          <w:sz w:val="32"/>
          <w:szCs w:val="32"/>
        </w:rPr>
        <w:t>。</w:t>
      </w:r>
    </w:p>
    <w:p w14:paraId="5ABFB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 xml:space="preserve">   </w:t>
      </w:r>
    </w:p>
    <w:p w14:paraId="0F317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二、收入决算情况说明</w:t>
      </w:r>
      <w:r>
        <w:rPr>
          <w:rFonts w:hint="eastAsia" w:ascii="黑体" w:hAnsi="黑体" w:eastAsia="黑体" w:cs="黑体"/>
          <w:bCs/>
          <w:sz w:val="32"/>
          <w:szCs w:val="32"/>
        </w:rPr>
        <w:br w:type="textWrapping"/>
      </w:r>
      <w:r>
        <w:rPr>
          <w:rFonts w:hint="eastAsia" w:ascii="仿宋_GB2312" w:hAnsi="ˎ̥" w:eastAsia="仿宋_GB2312"/>
          <w:sz w:val="32"/>
          <w:szCs w:val="32"/>
        </w:rPr>
        <w:t xml:space="preserve">    本年收入</w:t>
      </w:r>
      <w:r>
        <w:rPr>
          <w:rFonts w:hint="default" w:ascii="仿宋_GB2312" w:hAnsi="ˎ̥" w:eastAsia="仿宋_GB2312"/>
          <w:sz w:val="32"/>
          <w:szCs w:val="32"/>
          <w:lang w:val="en-US"/>
        </w:rPr>
        <w:t>311.2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/>
          <w:sz w:val="32"/>
          <w:szCs w:val="32"/>
        </w:rPr>
        <w:t>万元，其中：财政拨款收入</w:t>
      </w:r>
      <w:r>
        <w:rPr>
          <w:rFonts w:hint="default" w:ascii="仿宋_GB2312" w:hAnsi="ˎ̥" w:eastAsia="仿宋_GB2312"/>
          <w:sz w:val="32"/>
          <w:szCs w:val="32"/>
          <w:lang w:val="en-US"/>
        </w:rPr>
        <w:t>285.63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91.77</w:t>
      </w:r>
      <w:r>
        <w:rPr>
          <w:rFonts w:hint="eastAsia" w:ascii="仿宋_GB2312" w:hAnsi="ˎ̥" w:eastAsia="仿宋_GB2312"/>
          <w:sz w:val="32"/>
          <w:szCs w:val="32"/>
        </w:rPr>
        <w:t>%；事业收入</w:t>
      </w:r>
      <w:r>
        <w:rPr>
          <w:rFonts w:hint="default" w:ascii="仿宋_GB2312" w:hAnsi="ˎ̥" w:eastAsia="仿宋_GB2312"/>
          <w:sz w:val="32"/>
          <w:szCs w:val="32"/>
          <w:lang w:val="en-US"/>
        </w:rPr>
        <w:t>25.6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8.23</w:t>
      </w:r>
      <w:r>
        <w:rPr>
          <w:rFonts w:hint="eastAsia" w:ascii="仿宋_GB2312" w:hAnsi="ˎ̥" w:eastAsia="仿宋_GB2312"/>
          <w:sz w:val="32"/>
          <w:szCs w:val="32"/>
        </w:rPr>
        <w:t>%。</w:t>
      </w:r>
    </w:p>
    <w:p w14:paraId="3B020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412" w:leftChars="196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 xml:space="preserve">  </w:t>
      </w:r>
    </w:p>
    <w:p w14:paraId="5FF69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三、支出决算情况说明</w:t>
      </w:r>
    </w:p>
    <w:p w14:paraId="29410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本年支出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295.01</w:t>
      </w:r>
      <w:r>
        <w:rPr>
          <w:rFonts w:hint="eastAsia" w:ascii="仿宋_GB2312" w:hAnsi="ˎ̥" w:eastAsia="仿宋_GB2312"/>
          <w:sz w:val="32"/>
          <w:szCs w:val="32"/>
        </w:rPr>
        <w:t>万元，其中：基本支出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295.01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ˎ̥" w:eastAsia="仿宋_GB2312"/>
          <w:sz w:val="32"/>
          <w:szCs w:val="32"/>
        </w:rPr>
        <w:t>%；项目支出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0.00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ˎ̥" w:eastAsia="仿宋_GB2312"/>
          <w:sz w:val="32"/>
          <w:szCs w:val="32"/>
        </w:rPr>
        <w:t>%；上缴上级支出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0.00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ˎ̥" w:eastAsia="仿宋_GB2312"/>
          <w:sz w:val="32"/>
          <w:szCs w:val="32"/>
        </w:rPr>
        <w:t>%；经营支出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0.00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ˎ̥" w:eastAsia="仿宋_GB2312"/>
          <w:sz w:val="32"/>
          <w:szCs w:val="32"/>
        </w:rPr>
        <w:t>%；对附属单位补助支出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0.00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ˎ̥" w:eastAsia="仿宋_GB2312"/>
          <w:sz w:val="32"/>
          <w:szCs w:val="32"/>
        </w:rPr>
        <w:t>%。</w:t>
      </w:r>
    </w:p>
    <w:p w14:paraId="6EA14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四、财政拨款收入支出决算总体情况说明</w:t>
      </w:r>
    </w:p>
    <w:p w14:paraId="004D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年度财政拨款收入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285.63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万元，支出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285.63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万元。与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年度财政拨款收入308.53万元相比，财政拨款收入减少22.9万元，下降7.42%，主要原因：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预算基本支出减少。</w:t>
      </w:r>
    </w:p>
    <w:p w14:paraId="3CD7D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/>
          <w:sz w:val="32"/>
          <w:szCs w:val="32"/>
        </w:rPr>
        <w:t>支出减少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22.9</w:t>
      </w:r>
      <w:r>
        <w:rPr>
          <w:rFonts w:hint="eastAsia" w:ascii="仿宋_GB2312" w:hAnsi="ˎ̥" w:eastAsia="仿宋_GB2312"/>
          <w:sz w:val="32"/>
          <w:szCs w:val="32"/>
        </w:rPr>
        <w:t>万元，下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降7.42%，</w:t>
      </w:r>
      <w:r>
        <w:rPr>
          <w:rFonts w:hint="eastAsia" w:ascii="仿宋_GB2312" w:hAnsi="ˎ̥" w:eastAsia="仿宋_GB2312"/>
          <w:sz w:val="32"/>
          <w:szCs w:val="32"/>
        </w:rPr>
        <w:t>主要原因：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预算基本支出减少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F281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财政拨款年初结转结余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ˎ̥" w:eastAsia="仿宋_GB2312"/>
          <w:sz w:val="32"/>
          <w:szCs w:val="32"/>
        </w:rPr>
        <w:t>万元，较</w:t>
      </w:r>
      <w:r>
        <w:rPr>
          <w:rFonts w:hint="default" w:ascii="仿宋_GB2312" w:hAnsi="ˎ̥" w:eastAsia="仿宋_GB2312"/>
          <w:sz w:val="32"/>
          <w:szCs w:val="32"/>
          <w:lang w:val="en-US"/>
        </w:rPr>
        <w:t>2023</w:t>
      </w:r>
      <w:r>
        <w:rPr>
          <w:rFonts w:hint="eastAsia" w:ascii="仿宋_GB2312" w:hAnsi="ˎ̥" w:eastAsia="仿宋_GB2312"/>
          <w:sz w:val="32"/>
          <w:szCs w:val="32"/>
        </w:rPr>
        <w:t>年度决算数增加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ˎ̥" w:eastAsia="仿宋_GB2312"/>
          <w:sz w:val="32"/>
          <w:szCs w:val="32"/>
        </w:rPr>
        <w:t>万元。</w:t>
      </w:r>
    </w:p>
    <w:p w14:paraId="604B1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财政拨款年末结转结余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ˎ̥" w:eastAsia="仿宋_GB2312"/>
          <w:sz w:val="32"/>
          <w:szCs w:val="32"/>
        </w:rPr>
        <w:t>万元，较</w:t>
      </w:r>
      <w:r>
        <w:rPr>
          <w:rFonts w:hint="default" w:ascii="仿宋_GB2312" w:hAnsi="ˎ̥" w:eastAsia="仿宋_GB2312"/>
          <w:sz w:val="32"/>
          <w:szCs w:val="32"/>
          <w:lang w:val="en-US"/>
        </w:rPr>
        <w:t>2023</w:t>
      </w:r>
      <w:r>
        <w:rPr>
          <w:rFonts w:hint="eastAsia" w:ascii="仿宋_GB2312" w:hAnsi="ˎ̥" w:eastAsia="仿宋_GB2312"/>
          <w:sz w:val="32"/>
          <w:szCs w:val="32"/>
        </w:rPr>
        <w:t>年度决算数增加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ˎ̥" w:eastAsia="仿宋_GB2312"/>
          <w:sz w:val="32"/>
          <w:szCs w:val="32"/>
        </w:rPr>
        <w:t>万元。</w:t>
      </w:r>
    </w:p>
    <w:p w14:paraId="7BE8C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五、一般公共预算财政拨款支出决算情况说明</w:t>
      </w:r>
    </w:p>
    <w:p w14:paraId="55616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bookmarkStart w:id="79" w:name="_Toc9989_WPSOffice_Level2"/>
      <w:bookmarkStart w:id="80" w:name="_Toc21737_WPSOffice_Level2"/>
      <w:bookmarkStart w:id="81" w:name="_Toc23005_WPSOffice_Level2"/>
      <w:bookmarkStart w:id="82" w:name="_Toc13694_WPSOffice_Level2"/>
      <w:bookmarkStart w:id="83" w:name="_Toc17398_WPSOffice_Level2"/>
      <w:bookmarkStart w:id="84" w:name="_Toc19665_WPSOffice_Level2"/>
      <w:r>
        <w:rPr>
          <w:rFonts w:hint="eastAsia" w:ascii="楷体" w:hAnsi="楷体" w:eastAsia="楷体" w:cs="楷体"/>
          <w:sz w:val="32"/>
          <w:szCs w:val="32"/>
        </w:rPr>
        <w:t>（一）一般公共预算财政拨款支出决算总体情况</w:t>
      </w:r>
      <w:bookmarkEnd w:id="79"/>
      <w:bookmarkEnd w:id="80"/>
      <w:bookmarkEnd w:id="81"/>
      <w:bookmarkEnd w:id="82"/>
      <w:bookmarkEnd w:id="83"/>
      <w:bookmarkEnd w:id="84"/>
    </w:p>
    <w:p w14:paraId="0B0CF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default" w:ascii="仿宋_GB2312" w:hAnsi="ˎ̥" w:eastAsia="仿宋_GB2312"/>
          <w:sz w:val="32"/>
          <w:szCs w:val="32"/>
          <w:lang w:val="en-US"/>
        </w:rPr>
        <w:t>2024</w:t>
      </w:r>
      <w:r>
        <w:rPr>
          <w:rFonts w:hint="eastAsia" w:ascii="仿宋_GB2312" w:hAnsi="ˎ̥" w:eastAsia="仿宋_GB2312"/>
          <w:sz w:val="32"/>
          <w:szCs w:val="32"/>
        </w:rPr>
        <w:t>年度一般公共预算财政拨款支出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285.63</w:t>
      </w:r>
      <w:r>
        <w:rPr>
          <w:rFonts w:hint="eastAsia" w:ascii="仿宋_GB2312" w:hAnsi="ˎ̥" w:eastAsia="仿宋_GB2312"/>
          <w:sz w:val="32"/>
          <w:szCs w:val="32"/>
        </w:rPr>
        <w:t>万元，占本年支出合计的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96.82</w:t>
      </w:r>
      <w:r>
        <w:rPr>
          <w:rFonts w:hint="eastAsia" w:ascii="仿宋_GB2312" w:hAnsi="ˎ̥" w:eastAsia="仿宋_GB2312"/>
          <w:sz w:val="32"/>
          <w:szCs w:val="32"/>
        </w:rPr>
        <w:t>%。与</w:t>
      </w:r>
      <w:r>
        <w:rPr>
          <w:rFonts w:hint="default" w:ascii="仿宋_GB2312" w:hAnsi="ˎ̥" w:eastAsia="仿宋_GB2312"/>
          <w:sz w:val="32"/>
          <w:szCs w:val="32"/>
          <w:lang w:val="en-US"/>
        </w:rPr>
        <w:t>2023</w:t>
      </w:r>
      <w:r>
        <w:rPr>
          <w:rFonts w:hint="eastAsia" w:ascii="仿宋_GB2312" w:hAnsi="ˎ̥" w:eastAsia="仿宋_GB2312"/>
          <w:sz w:val="32"/>
          <w:szCs w:val="32"/>
        </w:rPr>
        <w:t>年度相比，一般公共预算财政拨款支出减少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22.9万元，下降7.42%</w:t>
      </w:r>
      <w:r>
        <w:rPr>
          <w:rFonts w:hint="eastAsia" w:ascii="仿宋_GB2312" w:hAnsi="ˎ̥" w:eastAsia="仿宋_GB2312"/>
          <w:sz w:val="32"/>
          <w:szCs w:val="32"/>
        </w:rPr>
        <w:t>，主要原因是般公共预算财政拨款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数额减少</w:t>
      </w:r>
      <w:r>
        <w:rPr>
          <w:rFonts w:hint="eastAsia" w:ascii="仿宋_GB2312" w:hAnsi="ˎ̥" w:eastAsia="仿宋_GB2312"/>
          <w:sz w:val="32"/>
          <w:szCs w:val="32"/>
        </w:rPr>
        <w:t>。</w:t>
      </w:r>
    </w:p>
    <w:p w14:paraId="02CF4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bookmarkStart w:id="85" w:name="_Toc23864_WPSOffice_Level2"/>
      <w:bookmarkStart w:id="86" w:name="_Toc27767_WPSOffice_Level2"/>
      <w:bookmarkStart w:id="87" w:name="_Toc19535_WPSOffice_Level2"/>
      <w:bookmarkStart w:id="88" w:name="_Toc2711_WPSOffice_Level2"/>
      <w:bookmarkStart w:id="89" w:name="_Toc18793_WPSOffice_Level2"/>
      <w:bookmarkStart w:id="90" w:name="_Toc19075_WPSOffice_Level2"/>
      <w:r>
        <w:rPr>
          <w:rFonts w:hint="eastAsia" w:ascii="楷体" w:hAnsi="楷体" w:eastAsia="楷体" w:cs="楷体"/>
          <w:sz w:val="32"/>
          <w:szCs w:val="32"/>
        </w:rPr>
        <w:t>（二）一般公共预算财政拨款支出决算结构情况</w:t>
      </w:r>
      <w:bookmarkEnd w:id="85"/>
      <w:bookmarkEnd w:id="86"/>
      <w:bookmarkEnd w:id="87"/>
      <w:bookmarkEnd w:id="88"/>
      <w:bookmarkEnd w:id="89"/>
      <w:bookmarkEnd w:id="90"/>
    </w:p>
    <w:p w14:paraId="1BE46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default" w:ascii="仿宋_GB2312" w:hAnsi="ˎ̥" w:eastAsia="仿宋_GB2312"/>
          <w:sz w:val="32"/>
          <w:szCs w:val="32"/>
          <w:lang w:val="en-US"/>
        </w:rPr>
        <w:t>2024</w:t>
      </w:r>
      <w:r>
        <w:rPr>
          <w:rFonts w:hint="eastAsia" w:ascii="仿宋_GB2312" w:hAnsi="ˎ̥" w:eastAsia="仿宋_GB2312"/>
          <w:sz w:val="32"/>
          <w:szCs w:val="32"/>
        </w:rPr>
        <w:t>年度一般公共预算财政拨款支出</w:t>
      </w:r>
      <w:r>
        <w:rPr>
          <w:rFonts w:hint="default" w:ascii="仿宋_GB2312" w:hAnsi="ˎ̥" w:eastAsia="仿宋_GB2312"/>
          <w:sz w:val="32"/>
          <w:szCs w:val="32"/>
          <w:lang w:val="en-US"/>
        </w:rPr>
        <w:t>285.63</w:t>
      </w:r>
      <w:r>
        <w:rPr>
          <w:rFonts w:hint="eastAsia" w:ascii="仿宋_GB2312" w:hAnsi="ˎ̥" w:eastAsia="仿宋_GB2312"/>
          <w:sz w:val="32"/>
          <w:szCs w:val="32"/>
        </w:rPr>
        <w:t>万元，主要用于以下方面：</w:t>
      </w:r>
      <w:r>
        <w:rPr>
          <w:rFonts w:hint="eastAsia" w:ascii="仿宋_GB2312" w:hAnsi="ˎ̥" w:eastAsia="仿宋_GB2312"/>
          <w:b/>
          <w:sz w:val="32"/>
          <w:szCs w:val="32"/>
        </w:rPr>
        <w:t>一般公共服务（类）</w:t>
      </w:r>
      <w:r>
        <w:rPr>
          <w:rFonts w:hint="eastAsia" w:ascii="仿宋_GB2312" w:hAnsi="ˎ̥" w:eastAsia="仿宋_GB2312"/>
          <w:sz w:val="32"/>
          <w:szCs w:val="32"/>
        </w:rPr>
        <w:t>支出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3.72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1.3</w:t>
      </w:r>
      <w:r>
        <w:rPr>
          <w:rFonts w:hint="eastAsia" w:ascii="仿宋_GB2312" w:hAnsi="ˎ̥" w:eastAsia="仿宋_GB2312"/>
          <w:sz w:val="32"/>
          <w:szCs w:val="32"/>
        </w:rPr>
        <w:t>%；</w:t>
      </w:r>
      <w:r>
        <w:rPr>
          <w:rFonts w:hint="eastAsia" w:ascii="仿宋_GB2312" w:hAnsi="ˎ̥" w:eastAsia="仿宋_GB2312"/>
          <w:b/>
          <w:sz w:val="32"/>
          <w:szCs w:val="32"/>
        </w:rPr>
        <w:t>社会保障和就业（类）</w:t>
      </w:r>
      <w:r>
        <w:rPr>
          <w:rFonts w:hint="eastAsia" w:ascii="仿宋_GB2312" w:hAnsi="ˎ̥" w:eastAsia="仿宋_GB2312"/>
          <w:sz w:val="32"/>
          <w:szCs w:val="32"/>
        </w:rPr>
        <w:t>支出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24.84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8.69</w:t>
      </w:r>
      <w:r>
        <w:rPr>
          <w:rFonts w:hint="eastAsia" w:ascii="仿宋_GB2312" w:hAnsi="ˎ̥" w:eastAsia="仿宋_GB2312"/>
          <w:sz w:val="32"/>
          <w:szCs w:val="32"/>
        </w:rPr>
        <w:t>%；</w:t>
      </w:r>
      <w:r>
        <w:rPr>
          <w:rFonts w:hint="eastAsia" w:ascii="仿宋_GB2312" w:hAnsi="ˎ̥" w:eastAsia="仿宋_GB2312"/>
          <w:b/>
          <w:sz w:val="32"/>
          <w:szCs w:val="32"/>
        </w:rPr>
        <w:t>卫生健康支出</w:t>
      </w:r>
      <w:r>
        <w:rPr>
          <w:rFonts w:hint="eastAsia" w:ascii="仿宋_GB2312" w:hAnsi="ˎ̥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类</w:t>
      </w:r>
      <w:r>
        <w:rPr>
          <w:rFonts w:hint="eastAsia" w:ascii="仿宋_GB2312" w:hAnsi="ˎ̥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ˎ̥" w:eastAsia="仿宋_GB2312"/>
          <w:sz w:val="32"/>
          <w:szCs w:val="32"/>
        </w:rPr>
        <w:t>支出222.21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ˎ̥" w:eastAsia="仿宋_GB2312"/>
          <w:sz w:val="32"/>
          <w:szCs w:val="32"/>
        </w:rPr>
        <w:t>，占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77.8</w:t>
      </w:r>
      <w:r>
        <w:rPr>
          <w:rFonts w:hint="eastAsia" w:ascii="仿宋_GB2312" w:hAnsi="ˎ̥" w:eastAsia="仿宋_GB2312"/>
          <w:sz w:val="32"/>
          <w:szCs w:val="32"/>
        </w:rPr>
        <w:t>%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ˎ̥" w:eastAsia="仿宋_GB2312"/>
          <w:b/>
          <w:sz w:val="32"/>
          <w:szCs w:val="32"/>
        </w:rPr>
        <w:t>住房保障（类）</w:t>
      </w:r>
      <w:r>
        <w:rPr>
          <w:rFonts w:hint="eastAsia" w:ascii="仿宋_GB2312" w:hAnsi="ˎ̥" w:eastAsia="仿宋_GB2312"/>
          <w:sz w:val="32"/>
          <w:szCs w:val="32"/>
        </w:rPr>
        <w:t>支出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34.88</w:t>
      </w:r>
      <w:r>
        <w:rPr>
          <w:rFonts w:hint="eastAsia" w:ascii="仿宋_GB2312" w:hAnsi="ˎ̥" w:eastAsia="仿宋_GB2312"/>
          <w:sz w:val="32"/>
          <w:szCs w:val="32"/>
        </w:rPr>
        <w:t>万元，占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12.21</w:t>
      </w:r>
      <w:r>
        <w:rPr>
          <w:rFonts w:hint="eastAsia" w:ascii="仿宋_GB2312" w:hAnsi="ˎ̥" w:eastAsia="仿宋_GB2312"/>
          <w:sz w:val="32"/>
          <w:szCs w:val="32"/>
        </w:rPr>
        <w:t>%。</w:t>
      </w:r>
    </w:p>
    <w:p w14:paraId="51B55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bookmarkStart w:id="91" w:name="_Toc22318_WPSOffice_Level2"/>
      <w:bookmarkStart w:id="92" w:name="_Toc25136_WPSOffice_Level2"/>
      <w:bookmarkStart w:id="93" w:name="_Toc29364_WPSOffice_Level2"/>
      <w:bookmarkStart w:id="94" w:name="_Toc9502_WPSOffice_Level2"/>
      <w:bookmarkStart w:id="95" w:name="_Toc21701_WPSOffice_Level2"/>
      <w:bookmarkStart w:id="96" w:name="_Toc15415_WPSOffice_Level2"/>
      <w:r>
        <w:rPr>
          <w:rFonts w:hint="eastAsia" w:ascii="楷体" w:hAnsi="楷体" w:eastAsia="楷体" w:cs="楷体"/>
          <w:sz w:val="32"/>
          <w:szCs w:val="32"/>
        </w:rPr>
        <w:t>（三）一般公共预算财政拨款支出决算具体情况</w:t>
      </w:r>
      <w:bookmarkEnd w:id="91"/>
      <w:bookmarkEnd w:id="92"/>
      <w:bookmarkEnd w:id="93"/>
      <w:bookmarkEnd w:id="94"/>
      <w:bookmarkEnd w:id="95"/>
      <w:bookmarkEnd w:id="96"/>
    </w:p>
    <w:p w14:paraId="04217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default" w:ascii="仿宋_GB2312" w:hAnsi="ˎ̥" w:eastAsia="仿宋_GB2312"/>
          <w:sz w:val="32"/>
          <w:szCs w:val="32"/>
          <w:lang w:val="en-US"/>
        </w:rPr>
        <w:t>2024</w:t>
      </w:r>
      <w:r>
        <w:rPr>
          <w:rFonts w:hint="eastAsia" w:ascii="仿宋_GB2312" w:hAnsi="ˎ̥" w:eastAsia="仿宋_GB2312"/>
          <w:sz w:val="32"/>
          <w:szCs w:val="32"/>
        </w:rPr>
        <w:t>年度一般公共预算财政拨款支出年初预算为285.63万元，支出决算为285.63万元，完成年初预算的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%</w:t>
      </w:r>
      <w:r>
        <w:rPr>
          <w:rFonts w:hint="eastAsia" w:ascii="仿宋_GB2312" w:hAnsi="ˎ̥" w:eastAsia="仿宋_GB2312"/>
          <w:sz w:val="32"/>
          <w:szCs w:val="32"/>
        </w:rPr>
        <w:t>。其中：</w:t>
      </w:r>
    </w:p>
    <w:p w14:paraId="768FE12E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ˎ̥" w:eastAsia="仿宋_GB2312"/>
          <w:b/>
          <w:sz w:val="32"/>
          <w:szCs w:val="32"/>
        </w:rPr>
        <w:t>一般公共服务支出（类）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群众团体事务</w:t>
      </w:r>
      <w:r>
        <w:rPr>
          <w:rFonts w:hint="eastAsia" w:ascii="仿宋_GB2312" w:hAnsi="ˎ̥" w:eastAsia="仿宋_GB2312"/>
          <w:b/>
          <w:sz w:val="32"/>
          <w:szCs w:val="32"/>
        </w:rPr>
        <w:t>（款）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工会事务</w:t>
      </w:r>
      <w:r>
        <w:rPr>
          <w:rFonts w:hint="eastAsia" w:ascii="仿宋_GB2312" w:hAnsi="ˎ̥" w:eastAsia="仿宋_GB2312"/>
          <w:b/>
          <w:sz w:val="32"/>
          <w:szCs w:val="32"/>
        </w:rPr>
        <w:t>（项）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支出决算为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3.72万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预算为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3.72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万元，完成预算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100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</w:t>
      </w:r>
    </w:p>
    <w:p w14:paraId="7C8B07A6">
      <w:pPr>
        <w:pStyle w:val="20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right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ˎ̥" w:eastAsia="仿宋_GB2312" w:cs="Times New Roman"/>
          <w:b/>
          <w:kern w:val="2"/>
          <w:sz w:val="32"/>
          <w:szCs w:val="32"/>
          <w:lang w:val="en-US" w:eastAsia="zh-CN" w:bidi="ar-SA"/>
        </w:rPr>
        <w:t>社会保障和就业支出（类）民政管理事务（款）机关事业单位基本养老保险缴费支出（项）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支出决算为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24.82万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预算为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24.82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完成预算100.89%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6C8AED61">
      <w:pPr>
        <w:pStyle w:val="20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right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ˎ̥" w:eastAsia="仿宋_GB2312" w:cs="Times New Roman"/>
          <w:b/>
          <w:kern w:val="2"/>
          <w:sz w:val="32"/>
          <w:szCs w:val="32"/>
          <w:lang w:val="en-US" w:eastAsia="zh-CN" w:bidi="ar-SA"/>
        </w:rPr>
        <w:t>卫生健康支出（类）基层医疗卫生机构（款）乡镇卫生院（项）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支出决算为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222.21万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预算为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222.21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完成预算100.89%。</w:t>
      </w:r>
    </w:p>
    <w:p w14:paraId="76E2ECAA">
      <w:pPr>
        <w:pStyle w:val="20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right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ˎ̥" w:eastAsia="仿宋_GB2312" w:cs="Times New Roman"/>
          <w:b/>
          <w:kern w:val="2"/>
          <w:sz w:val="32"/>
          <w:szCs w:val="32"/>
          <w:lang w:val="en-US" w:eastAsia="zh-CN" w:bidi="ar-SA"/>
        </w:rPr>
        <w:t>卫生健康支出（类）行政事业单位医疗（款）事业单位医疗（项）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支出决算为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13.38万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预算为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13.38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完成预算100%。</w:t>
      </w:r>
    </w:p>
    <w:p w14:paraId="5ABA152B">
      <w:pPr>
        <w:pStyle w:val="20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right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ˎ̥" w:eastAsia="仿宋_GB2312" w:cs="Times New Roman"/>
          <w:b/>
          <w:kern w:val="2"/>
          <w:sz w:val="32"/>
          <w:szCs w:val="32"/>
          <w:lang w:val="en-US" w:eastAsia="zh-CN" w:bidi="ar-SA"/>
        </w:rPr>
        <w:t>卫生健康支出（类）行政事业单位医疗（款）公务员补助（项）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支出决算为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2.63万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预算为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2.63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完成预算1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%。</w:t>
      </w:r>
    </w:p>
    <w:p w14:paraId="52EB51C6">
      <w:pPr>
        <w:pStyle w:val="20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right="0"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Times New Roman"/>
          <w:b/>
          <w:kern w:val="2"/>
          <w:sz w:val="32"/>
          <w:szCs w:val="32"/>
          <w:lang w:val="en-US" w:eastAsia="zh-CN" w:bidi="ar-SA"/>
        </w:rPr>
        <w:t>卫生健康支出（类）行政事业单位医疗（款）其他行政事业单位医疗支出（项）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支出决算为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1.8万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预算为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完成预算100%。</w:t>
      </w:r>
    </w:p>
    <w:p w14:paraId="7FE2B7D9">
      <w:pPr>
        <w:pStyle w:val="2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ˎ̥" w:eastAsia="仿宋_GB2312" w:cs="Times New Roman"/>
          <w:b/>
          <w:kern w:val="2"/>
          <w:sz w:val="32"/>
          <w:szCs w:val="32"/>
          <w:lang w:val="en-US" w:eastAsia="zh-CN" w:bidi="ar-SA"/>
        </w:rPr>
        <w:t>住房保障支出（类）住房改革支出（款）住房公积金（项）: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支出决算为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22.72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预算为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22.72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完成预算100%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41F01F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ˎ̥" w:eastAsia="仿宋_GB2312"/>
          <w:b/>
          <w:sz w:val="32"/>
          <w:szCs w:val="32"/>
        </w:rPr>
        <w:t>住房保障支出（类）住房改革支出（款）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购房补贴</w:t>
      </w:r>
      <w:r>
        <w:rPr>
          <w:rFonts w:hint="eastAsia" w:ascii="仿宋_GB2312" w:hAnsi="ˎ̥" w:eastAsia="仿宋_GB2312"/>
          <w:b/>
          <w:sz w:val="32"/>
          <w:szCs w:val="32"/>
        </w:rPr>
        <w:t>（项）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支出决算为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12.16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预算为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12.16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完成预算100%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6EAB9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六、一般公共预算财政拨款基本支出决算情况说明</w:t>
      </w:r>
    </w:p>
    <w:p w14:paraId="588683DF">
      <w:pPr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default" w:ascii="仿宋_GB2312" w:hAnsi="ˎ̥" w:eastAsia="仿宋_GB2312"/>
          <w:sz w:val="32"/>
          <w:szCs w:val="32"/>
          <w:lang w:val="en-US"/>
        </w:rPr>
        <w:t>2024</w:t>
      </w:r>
      <w:r>
        <w:rPr>
          <w:rFonts w:hint="eastAsia" w:ascii="仿宋_GB2312" w:hAnsi="ˎ̥" w:eastAsia="仿宋_GB2312"/>
          <w:sz w:val="32"/>
          <w:szCs w:val="32"/>
        </w:rPr>
        <w:t>年度财政拨款基本支出</w:t>
      </w:r>
      <w:r>
        <w:rPr>
          <w:rFonts w:hint="eastAsia" w:ascii="仿宋_GB2312" w:hAnsi="ˎ̥" w:eastAsia="仿宋_GB2312"/>
          <w:sz w:val="32"/>
          <w:szCs w:val="32"/>
          <w:lang w:val="en-US"/>
        </w:rPr>
        <w:t>285.63</w:t>
      </w:r>
      <w:r>
        <w:rPr>
          <w:rFonts w:hint="eastAsia" w:ascii="仿宋_GB2312" w:hAnsi="ˎ̥" w:eastAsia="仿宋_GB2312"/>
          <w:sz w:val="32"/>
          <w:szCs w:val="32"/>
        </w:rPr>
        <w:t>万元，其中：人员经费</w:t>
      </w:r>
      <w:r>
        <w:rPr>
          <w:rFonts w:hint="eastAsia" w:ascii="仿宋_GB2312" w:hAnsi="ˎ̥" w:eastAsia="仿宋_GB2312"/>
          <w:sz w:val="32"/>
          <w:szCs w:val="32"/>
          <w:lang w:val="en-US"/>
        </w:rPr>
        <w:t>268.58</w:t>
      </w:r>
      <w:r>
        <w:rPr>
          <w:rFonts w:hint="eastAsia" w:ascii="仿宋_GB2312" w:hAnsi="ˎ̥" w:eastAsia="仿宋_GB2312"/>
          <w:sz w:val="32"/>
          <w:szCs w:val="32"/>
        </w:rPr>
        <w:t>万元，主要包括：工资福利支出中的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；对个人和家庭的补助中的离休费、退休费、退职（役）费、抚恤金、生活补助、救济费、医疗费补助、助学金、奖励金、个人农业生产补贴、代缴社会保险费、其他对个人和家庭的补助。公用经费</w:t>
      </w:r>
      <w:r>
        <w:rPr>
          <w:rFonts w:hint="eastAsia" w:ascii="仿宋_GB2312" w:hAnsi="ˎ̥" w:eastAsia="仿宋_GB2312"/>
          <w:sz w:val="32"/>
          <w:szCs w:val="32"/>
          <w:lang w:val="en-US"/>
        </w:rPr>
        <w:t>17.05</w:t>
      </w:r>
      <w:r>
        <w:rPr>
          <w:rFonts w:hint="eastAsia" w:ascii="仿宋_GB2312" w:hAnsi="ˎ̥" w:eastAsia="仿宋_GB2312"/>
          <w:sz w:val="32"/>
          <w:szCs w:val="32"/>
        </w:rPr>
        <w:t>万元，主要包括：商品和服务支出中的办公费、印刷费、咨询费、手续费、水费、电费、邮电费、取暖费、物业管理费、差旅费、因公出国（境）费用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；债务利息及费用支出中的国内债务付息及国外债务付息；资本性支出中的房屋建筑物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购</w:t>
      </w:r>
      <w:r>
        <w:rPr>
          <w:rFonts w:hint="eastAsia" w:ascii="仿宋_GB2312" w:hAnsi="ˎ̥" w:eastAsia="仿宋_GB2312"/>
          <w:sz w:val="32"/>
          <w:szCs w:val="32"/>
        </w:rPr>
        <w:t>建、办公设备购置、专用设备购置、基础设施建设、大型修缮、信息网络及软件购置更新、物资储备、土地补偿、安置补助、地上附着物和青苗补偿、拆迁补偿、公务用车购置、其他交通工具购置、文物和陈列品购置、无形资产购置、其他资本性支出等；其他支出中的赠予、国家赔偿费用支出、对民间非营利组织和群众性自治组织补贴和其他支出。</w:t>
      </w:r>
    </w:p>
    <w:p w14:paraId="7241B08A">
      <w:pPr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七、政府性基金预算财政拨款支出决算情况说明</w:t>
      </w:r>
    </w:p>
    <w:p w14:paraId="23BC2177">
      <w:pPr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林芝市巴宜区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八一镇卫生院2024年度无政府性基金预算财政拨款支出。</w:t>
      </w:r>
    </w:p>
    <w:p w14:paraId="101E92BC">
      <w:pPr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八、国有资本经营预算财政拨款支出决算情况说明</w:t>
      </w:r>
    </w:p>
    <w:p w14:paraId="0C0241BD">
      <w:pPr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林芝市巴宜区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八一镇卫生院2024年度无无国有资本经营预算财政拨款支出。</w:t>
      </w:r>
    </w:p>
    <w:p w14:paraId="5834E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ˎ̥" w:eastAsia="楷体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九、财政拨款“三公”经费支出决算情况说明</w:t>
      </w:r>
    </w:p>
    <w:p w14:paraId="5D196345">
      <w:pPr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7" w:firstLineChars="196"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林芝市巴宜区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八一镇卫生院2024年度无财政拨款“三公”经费预算财政拨款支出。</w:t>
      </w:r>
    </w:p>
    <w:p w14:paraId="3B818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十、预算绩效情况说明</w:t>
      </w:r>
    </w:p>
    <w:p w14:paraId="76BD7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本单位预算绩效自评工作已完成，自评结果为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优秀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，本次绩效评价结果客观反映了年度资金使用效率和工作落实成效，为后续制定年度工作计划、设定绩效目标提供了重要参考。</w:t>
      </w:r>
    </w:p>
    <w:p w14:paraId="7FDC3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十一、其他重要事项情况说明</w:t>
      </w:r>
    </w:p>
    <w:p w14:paraId="7BA2C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ˎ̥" w:eastAsia="黑体"/>
          <w:color w:val="auto"/>
          <w:sz w:val="32"/>
          <w:szCs w:val="32"/>
          <w:lang w:eastAsia="zh-CN"/>
        </w:rPr>
      </w:pPr>
      <w:bookmarkStart w:id="97" w:name="_Toc11039_WPSOffice_Level1"/>
      <w:bookmarkStart w:id="98" w:name="_Toc8808_WPSOffice_Level1"/>
      <w:bookmarkStart w:id="99" w:name="_Toc15425_WPSOffice_Level1"/>
      <w:bookmarkStart w:id="100" w:name="_Toc4398_WPSOffice_Level1"/>
      <w:bookmarkStart w:id="101" w:name="_Toc8874_WPSOffice_Level1"/>
      <w:bookmarkStart w:id="102" w:name="_Toc17580_WPSOffice_Level1"/>
      <w:r>
        <w:rPr>
          <w:rFonts w:hint="eastAsia" w:ascii="楷体" w:hAnsi="楷体" w:eastAsia="楷体" w:cs="楷体"/>
          <w:bCs/>
          <w:color w:val="auto"/>
          <w:sz w:val="32"/>
          <w:szCs w:val="32"/>
          <w:lang w:eastAsia="zh-CN"/>
        </w:rPr>
        <w:t>无</w:t>
      </w:r>
    </w:p>
    <w:p w14:paraId="23933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黑体" w:hAnsi="ˎ̥" w:eastAsia="黑体"/>
          <w:sz w:val="32"/>
          <w:szCs w:val="32"/>
        </w:rPr>
      </w:pPr>
    </w:p>
    <w:bookmarkEnd w:id="97"/>
    <w:bookmarkEnd w:id="98"/>
    <w:bookmarkEnd w:id="99"/>
    <w:bookmarkEnd w:id="100"/>
    <w:bookmarkEnd w:id="101"/>
    <w:bookmarkEnd w:id="102"/>
    <w:p w14:paraId="419A0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9E08A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18</w:t>
    </w:r>
    <w:r>
      <w:fldChar w:fldCharType="end"/>
    </w:r>
  </w:p>
  <w:p w14:paraId="1BD1ED8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6F60F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07FD915D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2BA00"/>
    <w:multiLevelType w:val="singleLevel"/>
    <w:tmpl w:val="8AB2BA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97C891"/>
    <w:multiLevelType w:val="singleLevel"/>
    <w:tmpl w:val="6597C891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72109F8D"/>
    <w:multiLevelType w:val="singleLevel"/>
    <w:tmpl w:val="72109F8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2JhZGEwNGY4MWI0MzM3MTE4NTM3OTVjZGUxNzIifQ=="/>
  </w:docVars>
  <w:rsids>
    <w:rsidRoot w:val="A7F73C99"/>
    <w:rsid w:val="00064A91"/>
    <w:rsid w:val="000718C4"/>
    <w:rsid w:val="000779B0"/>
    <w:rsid w:val="001E4E23"/>
    <w:rsid w:val="001E510D"/>
    <w:rsid w:val="001F28C1"/>
    <w:rsid w:val="001F4EC0"/>
    <w:rsid w:val="00213789"/>
    <w:rsid w:val="002A6E07"/>
    <w:rsid w:val="0034456B"/>
    <w:rsid w:val="003D2F77"/>
    <w:rsid w:val="004C755C"/>
    <w:rsid w:val="004D515A"/>
    <w:rsid w:val="004D5572"/>
    <w:rsid w:val="0050273F"/>
    <w:rsid w:val="00513897"/>
    <w:rsid w:val="00530C81"/>
    <w:rsid w:val="005C43A2"/>
    <w:rsid w:val="005E64FB"/>
    <w:rsid w:val="005F5987"/>
    <w:rsid w:val="00602EED"/>
    <w:rsid w:val="006B0D64"/>
    <w:rsid w:val="00731FC7"/>
    <w:rsid w:val="00740E64"/>
    <w:rsid w:val="00754F6E"/>
    <w:rsid w:val="007A4101"/>
    <w:rsid w:val="008232A9"/>
    <w:rsid w:val="00896ADB"/>
    <w:rsid w:val="009A2744"/>
    <w:rsid w:val="00A54A37"/>
    <w:rsid w:val="00A70448"/>
    <w:rsid w:val="00AA19F3"/>
    <w:rsid w:val="00AC28EE"/>
    <w:rsid w:val="00AC3F0E"/>
    <w:rsid w:val="00B36E61"/>
    <w:rsid w:val="00B409FF"/>
    <w:rsid w:val="00B4133E"/>
    <w:rsid w:val="00B54DE8"/>
    <w:rsid w:val="00B63E9E"/>
    <w:rsid w:val="00BC0439"/>
    <w:rsid w:val="00C04C21"/>
    <w:rsid w:val="00C7436A"/>
    <w:rsid w:val="00CA0F14"/>
    <w:rsid w:val="00CA536B"/>
    <w:rsid w:val="00CB0D1E"/>
    <w:rsid w:val="00CD6E49"/>
    <w:rsid w:val="00CD794A"/>
    <w:rsid w:val="00DB612B"/>
    <w:rsid w:val="00DC2A37"/>
    <w:rsid w:val="00E07782"/>
    <w:rsid w:val="00E70EA3"/>
    <w:rsid w:val="00F0336A"/>
    <w:rsid w:val="00F06DA9"/>
    <w:rsid w:val="00F103D6"/>
    <w:rsid w:val="00F25220"/>
    <w:rsid w:val="00FA2884"/>
    <w:rsid w:val="00FC03DC"/>
    <w:rsid w:val="00FC5708"/>
    <w:rsid w:val="029F0F02"/>
    <w:rsid w:val="040C25C7"/>
    <w:rsid w:val="09201287"/>
    <w:rsid w:val="0C4339D1"/>
    <w:rsid w:val="0F1A0545"/>
    <w:rsid w:val="0FC80124"/>
    <w:rsid w:val="136F98C7"/>
    <w:rsid w:val="14A31DB9"/>
    <w:rsid w:val="17427E68"/>
    <w:rsid w:val="1755065F"/>
    <w:rsid w:val="17B76211"/>
    <w:rsid w:val="17CF1E32"/>
    <w:rsid w:val="1AFC29C9"/>
    <w:rsid w:val="1CA52F2E"/>
    <w:rsid w:val="1DFE370B"/>
    <w:rsid w:val="1E3630B9"/>
    <w:rsid w:val="1EF56F3E"/>
    <w:rsid w:val="207672EF"/>
    <w:rsid w:val="233F29AE"/>
    <w:rsid w:val="24CE7A19"/>
    <w:rsid w:val="26EEC2B5"/>
    <w:rsid w:val="27D30806"/>
    <w:rsid w:val="286A7318"/>
    <w:rsid w:val="29472309"/>
    <w:rsid w:val="29A96BEB"/>
    <w:rsid w:val="2A696FAD"/>
    <w:rsid w:val="2B406E77"/>
    <w:rsid w:val="2C2A0C43"/>
    <w:rsid w:val="2D1E73A5"/>
    <w:rsid w:val="30321FED"/>
    <w:rsid w:val="3064187D"/>
    <w:rsid w:val="317E4255"/>
    <w:rsid w:val="32717154"/>
    <w:rsid w:val="34B63260"/>
    <w:rsid w:val="37FDA7E2"/>
    <w:rsid w:val="393B2A2C"/>
    <w:rsid w:val="3A314D88"/>
    <w:rsid w:val="3A746883"/>
    <w:rsid w:val="3CA15DE9"/>
    <w:rsid w:val="3FE61EE5"/>
    <w:rsid w:val="406508EE"/>
    <w:rsid w:val="408D6263"/>
    <w:rsid w:val="41B40CEE"/>
    <w:rsid w:val="43122A4F"/>
    <w:rsid w:val="44D22496"/>
    <w:rsid w:val="48317291"/>
    <w:rsid w:val="485F7024"/>
    <w:rsid w:val="488D3E78"/>
    <w:rsid w:val="48E70666"/>
    <w:rsid w:val="4C6877E5"/>
    <w:rsid w:val="4D6A468D"/>
    <w:rsid w:val="4EA86137"/>
    <w:rsid w:val="4F343D4D"/>
    <w:rsid w:val="53536E98"/>
    <w:rsid w:val="56CA7FD0"/>
    <w:rsid w:val="57FA38D1"/>
    <w:rsid w:val="5CBF1A6E"/>
    <w:rsid w:val="5F7D3333"/>
    <w:rsid w:val="606D70BF"/>
    <w:rsid w:val="61385890"/>
    <w:rsid w:val="62522A10"/>
    <w:rsid w:val="64207E37"/>
    <w:rsid w:val="6504510C"/>
    <w:rsid w:val="66AD30FE"/>
    <w:rsid w:val="687436E1"/>
    <w:rsid w:val="6DA45C50"/>
    <w:rsid w:val="6E9A7825"/>
    <w:rsid w:val="6F670F9B"/>
    <w:rsid w:val="701307E4"/>
    <w:rsid w:val="737450E0"/>
    <w:rsid w:val="74054476"/>
    <w:rsid w:val="742F38C4"/>
    <w:rsid w:val="74AB66DC"/>
    <w:rsid w:val="74C4154C"/>
    <w:rsid w:val="75956FFF"/>
    <w:rsid w:val="77304C77"/>
    <w:rsid w:val="77AA2D01"/>
    <w:rsid w:val="7CDE1DBD"/>
    <w:rsid w:val="7D943A85"/>
    <w:rsid w:val="7DB0448C"/>
    <w:rsid w:val="7E5F9AA4"/>
    <w:rsid w:val="7F9D4E73"/>
    <w:rsid w:val="7FA85410"/>
    <w:rsid w:val="8FFC8888"/>
    <w:rsid w:val="A7F73C99"/>
    <w:rsid w:val="BFFE3BF4"/>
    <w:rsid w:val="DFEBDA37"/>
    <w:rsid w:val="EF6FCA1D"/>
    <w:rsid w:val="EFFF57D6"/>
    <w:rsid w:val="FD33A2D0"/>
    <w:rsid w:val="FF7FA20F"/>
    <w:rsid w:val="FFFE81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16"/>
    <w:qFormat/>
    <w:uiPriority w:val="0"/>
    <w:rPr>
      <w:b/>
      <w:bCs/>
    </w:rPr>
  </w:style>
  <w:style w:type="character" w:styleId="11">
    <w:name w:val="page number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主题 Char"/>
    <w:link w:val="8"/>
    <w:qFormat/>
    <w:uiPriority w:val="0"/>
    <w:rPr>
      <w:b/>
      <w:bCs/>
      <w:kern w:val="2"/>
      <w:sz w:val="21"/>
      <w:szCs w:val="24"/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正文1 Char Char Char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0">
    <w:name w:val="666"/>
    <w:basedOn w:val="1"/>
    <w:qFormat/>
    <w:uiPriority w:val="0"/>
    <w:pPr>
      <w:spacing w:line="560" w:lineRule="exact"/>
      <w:ind w:firstLine="420" w:firstLineChars="200"/>
      <w:jc w:val="left"/>
    </w:pPr>
    <w:rPr>
      <w:rFonts w:ascii="宋体" w:hAnsi="宋体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2656</Words>
  <Characters>3024</Characters>
  <Lines>67</Lines>
  <Paragraphs>18</Paragraphs>
  <TotalTime>1</TotalTime>
  <ScaleCrop>false</ScaleCrop>
  <LinksUpToDate>false</LinksUpToDate>
  <CharactersWithSpaces>3074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2024-07-24T03:26:00Z</dcterms:created>
  <dc:creator>uos</dc:creator>
  <cp:lastModifiedBy>，，无悔之心</cp:lastModifiedBy>
  <cp:lastPrinted>2023-08-03T00:58:00Z</cp:lastPrinted>
  <dcterms:modified xsi:type="dcterms:W3CDTF">2025-12-31T10:26:27Z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62BEC4820EE04D218B436F3F82916A05_13</vt:lpwstr>
  </property>
  <property fmtid="{D5CDD505-2E9C-101B-9397-08002B2CF9AE}" pid="4" name="KSOTemplateDocerSaveRecord">
    <vt:lpwstr>eyJoZGlkIjoiZDk2NmZkMjFmYThjODE4NjczYzM2NTBlZDE5ZTBhMjQiLCJ1c2VySWQiOiI2MDY4NTU4MjgifQ==</vt:lpwstr>
  </property>
</Properties>
</file>