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56A">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林芝市巴宜</w:t>
      </w:r>
      <w:r>
        <w:rPr>
          <w:rFonts w:hint="eastAsia" w:asciiTheme="majorEastAsia" w:hAnsiTheme="majorEastAsia" w:eastAsiaTheme="majorEastAsia" w:cstheme="majorEastAsia"/>
          <w:b/>
          <w:bCs/>
          <w:sz w:val="44"/>
          <w:szCs w:val="44"/>
          <w:lang w:eastAsia="zh-CN"/>
        </w:rPr>
        <w:t>区</w:t>
      </w:r>
      <w:r>
        <w:rPr>
          <w:rFonts w:hint="eastAsia" w:asciiTheme="majorEastAsia" w:hAnsiTheme="majorEastAsia" w:eastAsiaTheme="majorEastAsia" w:cstheme="majorEastAsia"/>
          <w:b/>
          <w:bCs/>
          <w:sz w:val="44"/>
          <w:szCs w:val="44"/>
        </w:rPr>
        <w:t>百巴镇卫生院2024年度部门决算公开报告</w:t>
      </w:r>
    </w:p>
    <w:p w14:paraId="1E8F4CF7">
      <w:pPr>
        <w:spacing w:line="578" w:lineRule="exact"/>
        <w:jc w:val="center"/>
        <w:rPr>
          <w:rFonts w:hint="eastAsia" w:asciiTheme="majorEastAsia" w:hAnsiTheme="majorEastAsia" w:eastAsiaTheme="majorEastAsia" w:cstheme="majorEastAsia"/>
          <w:b/>
          <w:bCs/>
          <w:sz w:val="44"/>
          <w:szCs w:val="44"/>
        </w:rPr>
      </w:pP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jc w:val="both"/>
        <w:rPr>
          <w:rFonts w:hint="eastAsia" w:ascii="黑体" w:hAnsi="ˎ̥" w:eastAsia="黑体"/>
          <w:sz w:val="32"/>
          <w:szCs w:val="32"/>
        </w:rPr>
      </w:pPr>
      <w:bookmarkStart w:id="2" w:name="_Toc32433_WPSOffice_Level1"/>
      <w:bookmarkStart w:id="3" w:name="_Toc10049_WPSOffice_Level1"/>
      <w:bookmarkStart w:id="4" w:name="_Toc1704_WPSOffice_Level1"/>
      <w:bookmarkStart w:id="5" w:name="_Toc22941_WPSOffice_Level1"/>
      <w:bookmarkStart w:id="6" w:name="_Toc23465_WPSOffice_Level1"/>
      <w:bookmarkStart w:id="7" w:name="_Toc10720_WPSOffice_Level1"/>
      <w:bookmarkStart w:id="8" w:name="_Toc24238_WPSOffice_Level2"/>
      <w:bookmarkStart w:id="9" w:name="_Toc26580_WPSOffice_Level2"/>
      <w:bookmarkStart w:id="10" w:name="_Toc20205_WPSOffice_Level2"/>
      <w:bookmarkStart w:id="11" w:name="_Toc32622_WPSOffice_Level2"/>
      <w:bookmarkStart w:id="12" w:name="_Toc20274_WPSOffice_Level2"/>
      <w:bookmarkStart w:id="13" w:name="_Toc14159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313C40A3">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负责基本医疗保健和优生优育技术服务等工作;负责疾病预防控制工作,执行儿童计划免疫;执行农村医疗保险政策,做好政</w:t>
      </w:r>
      <w:bookmarkStart w:id="97" w:name="_GoBack"/>
      <w:bookmarkEnd w:id="97"/>
      <w:r>
        <w:rPr>
          <w:rFonts w:hint="eastAsia" w:ascii="仿宋_GB2312" w:hAnsi="ˎ̥" w:eastAsia="仿宋_GB2312"/>
          <w:sz w:val="32"/>
          <w:szCs w:val="32"/>
          <w:lang w:val="en-US" w:eastAsia="zh-CN"/>
        </w:rPr>
        <w:t>策宣传、监督及服务工作。</w:t>
      </w:r>
    </w:p>
    <w:p w14:paraId="0680DACE">
      <w:pPr>
        <w:spacing w:line="578" w:lineRule="exact"/>
        <w:ind w:firstLine="640" w:firstLineChars="200"/>
        <w:rPr>
          <w:rFonts w:hint="eastAsia" w:ascii="黑体" w:hAnsi="黑体" w:eastAsia="黑体" w:cs="黑体"/>
          <w:sz w:val="32"/>
          <w:szCs w:val="32"/>
        </w:rPr>
      </w:pPr>
      <w:bookmarkStart w:id="14" w:name="_Toc4833_WPSOffice_Level2"/>
      <w:bookmarkStart w:id="15" w:name="_Toc6572_WPSOffice_Level2"/>
      <w:bookmarkStart w:id="16" w:name="_Toc17796_WPSOffice_Level2"/>
      <w:bookmarkStart w:id="17" w:name="_Toc24474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14:paraId="30E5F8F9">
      <w:pPr>
        <w:spacing w:line="578" w:lineRule="exact"/>
        <w:ind w:firstLine="640" w:firstLineChars="200"/>
        <w:jc w:val="both"/>
        <w:rPr>
          <w:rFonts w:hint="eastAsia" w:ascii="仿宋_GB2312" w:hAnsi="ˎ̥" w:eastAsia="仿宋_GB2312"/>
          <w:sz w:val="32"/>
          <w:szCs w:val="32"/>
          <w:lang w:val="en-US" w:eastAsia="zh-CN"/>
        </w:rPr>
      </w:pPr>
      <w:bookmarkStart w:id="19" w:name="_Toc6234_WPSOffice_Level1"/>
      <w:bookmarkStart w:id="20" w:name="_Toc28253_WPSOffice_Level1"/>
      <w:bookmarkStart w:id="21" w:name="_Toc8164_WPSOffice_Level1"/>
      <w:bookmarkStart w:id="22" w:name="_Toc30451_WPSOffice_Level1"/>
      <w:bookmarkStart w:id="23" w:name="_Toc30690_WPSOffice_Level1"/>
      <w:bookmarkStart w:id="24" w:name="_Toc15521_WPSOffice_Level1"/>
      <w:bookmarkStart w:id="25" w:name="_Toc6211_WPSOffice_Level2"/>
      <w:bookmarkStart w:id="26" w:name="_Toc11518_WPSOffice_Level2"/>
      <w:bookmarkStart w:id="27" w:name="_Toc4029_WPSOffice_Level2"/>
      <w:bookmarkStart w:id="28" w:name="_Toc32695_WPSOffice_Level2"/>
      <w:bookmarkStart w:id="29" w:name="_Toc32472_WPSOffice_Level2"/>
      <w:bookmarkStart w:id="30" w:name="_Toc8867_WPSOffice_Level2"/>
      <w:r>
        <w:rPr>
          <w:rFonts w:hint="eastAsia" w:ascii="仿宋_GB2312" w:hAnsi="ˎ̥" w:eastAsia="仿宋_GB2312"/>
          <w:sz w:val="32"/>
          <w:szCs w:val="32"/>
        </w:rPr>
        <w:t>纳</w:t>
      </w:r>
      <w:r>
        <w:rPr>
          <w:rFonts w:hint="eastAsia" w:ascii="仿宋_GB2312" w:hAnsi="ˎ̥" w:eastAsia="仿宋_GB2312"/>
          <w:sz w:val="32"/>
          <w:szCs w:val="32"/>
          <w:lang w:val="en-US" w:eastAsia="zh-CN"/>
        </w:rPr>
        <w:t>入</w:t>
      </w:r>
      <w:r>
        <w:rPr>
          <w:rFonts w:hint="default" w:ascii="仿宋_GB2312" w:hAnsi="ˎ̥" w:eastAsia="仿宋_GB2312"/>
          <w:sz w:val="32"/>
          <w:szCs w:val="32"/>
          <w:lang w:val="en-US" w:eastAsia="zh-CN"/>
        </w:rPr>
        <w:t>2024</w:t>
      </w:r>
      <w:r>
        <w:rPr>
          <w:rFonts w:hint="eastAsia" w:ascii="仿宋_GB2312" w:hAnsi="ˎ̥" w:eastAsia="仿宋_GB2312"/>
          <w:sz w:val="32"/>
          <w:szCs w:val="32"/>
          <w:lang w:val="en-US" w:eastAsia="zh-CN"/>
        </w:rPr>
        <w:t>年度部门决算编制范围的单位共1个，包括：</w:t>
      </w:r>
      <w:bookmarkStart w:id="31" w:name="_Toc25738_WPSOffice_Level2"/>
      <w:bookmarkStart w:id="32" w:name="_Toc24421_WPSOffice_Level2"/>
      <w:r>
        <w:rPr>
          <w:rFonts w:hint="eastAsia" w:ascii="仿宋_GB2312" w:hAnsi="ˎ̥" w:eastAsia="仿宋_GB2312"/>
          <w:sz w:val="32"/>
          <w:szCs w:val="32"/>
          <w:lang w:val="en-US" w:eastAsia="zh-CN"/>
        </w:rPr>
        <w:t>林芝市巴宜区百巴镇卫生院</w:t>
      </w:r>
      <w:bookmarkEnd w:id="31"/>
      <w:bookmarkEnd w:id="32"/>
      <w:r>
        <w:rPr>
          <w:rFonts w:hint="eastAsia" w:ascii="仿宋_GB2312" w:hAnsi="ˎ̥" w:eastAsia="仿宋_GB2312"/>
          <w:sz w:val="32"/>
          <w:szCs w:val="32"/>
          <w:lang w:val="en-US" w:eastAsia="zh-CN"/>
        </w:rPr>
        <w:t>。</w:t>
      </w:r>
    </w:p>
    <w:p w14:paraId="34F72451">
      <w:pPr>
        <w:spacing w:line="578" w:lineRule="exact"/>
        <w:jc w:val="center"/>
        <w:rPr>
          <w:rFonts w:hint="eastAsia" w:ascii="黑体" w:hAnsi="ˎ̥" w:eastAsia="黑体"/>
          <w:sz w:val="32"/>
          <w:szCs w:val="32"/>
        </w:rPr>
      </w:pPr>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3" w:name="_Toc23139_WPSOffice_Level2"/>
      <w:bookmarkStart w:id="34" w:name="_Toc28622_WPSOffice_Level2"/>
      <w:bookmarkStart w:id="35" w:name="_Toc14349_WPSOffice_Level2"/>
      <w:bookmarkStart w:id="36" w:name="_Toc30334_WPSOffice_Level2"/>
      <w:bookmarkStart w:id="37" w:name="_Toc25608_WPSOffice_Level2"/>
      <w:bookmarkStart w:id="38" w:name="_Toc26621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7858_WPSOffice_Level2"/>
      <w:bookmarkStart w:id="40" w:name="_Toc17626_WPSOffice_Level2"/>
      <w:bookmarkStart w:id="41" w:name="_Toc5489_WPSOffice_Level2"/>
      <w:bookmarkStart w:id="42" w:name="_Toc13854_WPSOffice_Level2"/>
      <w:bookmarkStart w:id="43" w:name="_Toc14658_WPSOffice_Level2"/>
      <w:bookmarkStart w:id="44" w:name="_Toc3262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13701_WPSOffice_Level2"/>
      <w:bookmarkStart w:id="46" w:name="_Toc4265_WPSOffice_Level2"/>
      <w:bookmarkStart w:id="47" w:name="_Toc23591_WPSOffice_Level2"/>
      <w:bookmarkStart w:id="48" w:name="_Toc23493_WPSOffice_Level2"/>
      <w:bookmarkStart w:id="49" w:name="_Toc7988_WPSOffice_Level2"/>
      <w:bookmarkStart w:id="50" w:name="_Toc21415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14:paraId="1CA1AAB7">
      <w:pPr>
        <w:spacing w:line="578" w:lineRule="exact"/>
        <w:ind w:firstLine="645"/>
        <w:rPr>
          <w:rFonts w:hint="eastAsia" w:ascii="黑体" w:hAnsi="黑体" w:eastAsia="黑体" w:cs="黑体"/>
          <w:sz w:val="32"/>
          <w:szCs w:val="32"/>
        </w:rPr>
      </w:pPr>
      <w:bookmarkStart w:id="51" w:name="_Toc7879_WPSOffice_Level2"/>
      <w:bookmarkStart w:id="52" w:name="_Toc23829_WPSOffice_Level2"/>
      <w:bookmarkStart w:id="53" w:name="_Toc25166_WPSOffice_Level2"/>
      <w:bookmarkStart w:id="54" w:name="_Toc22783_WPSOffice_Level2"/>
      <w:bookmarkStart w:id="55" w:name="_Toc13516_WPSOffice_Level2"/>
      <w:bookmarkStart w:id="56" w:name="_Toc2158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2632_WPSOffice_Level2"/>
      <w:bookmarkStart w:id="58" w:name="_Toc5343_WPSOffice_Level2"/>
      <w:bookmarkStart w:id="59" w:name="_Toc17833_WPSOffice_Level2"/>
      <w:bookmarkStart w:id="60" w:name="_Toc17283_WPSOffice_Level2"/>
      <w:bookmarkStart w:id="61" w:name="_Toc25362_WPSOffice_Level2"/>
      <w:bookmarkStart w:id="62" w:name="_Toc8373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3" w:name="_Toc5594_WPSOffice_Level2"/>
      <w:bookmarkStart w:id="64" w:name="_Toc6020_WPSOffice_Level2"/>
      <w:bookmarkStart w:id="65" w:name="_Toc1533_WPSOffice_Level2"/>
      <w:bookmarkStart w:id="66" w:name="_Toc11799_WPSOffice_Level2"/>
      <w:bookmarkStart w:id="67" w:name="_Toc13345_WPSOffice_Level2"/>
      <w:bookmarkStart w:id="68" w:name="_Toc21310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9" w:name="_Toc1820_WPSOffice_Level2"/>
      <w:bookmarkStart w:id="70" w:name="_Toc29886_WPSOffice_Level2"/>
      <w:bookmarkStart w:id="71" w:name="_Toc9377_WPSOffice_Level2"/>
      <w:bookmarkStart w:id="72" w:name="_Toc19961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3" w:name="_Toc16686_WPSOffice_Level1"/>
      <w:bookmarkStart w:id="74" w:name="_Toc29683_WPSOffice_Level1"/>
      <w:bookmarkStart w:id="75" w:name="_Toc4402_WPSOffice_Level1"/>
      <w:bookmarkStart w:id="76" w:name="_Toc27590_WPSOffice_Level1"/>
      <w:bookmarkStart w:id="77" w:name="_Toc28629_WPSOffice_Level1"/>
      <w:bookmarkStart w:id="78" w:name="_Toc31264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sz w:val="32"/>
          <w:szCs w:val="32"/>
          <w:lang w:val="en-US"/>
        </w:rPr>
        <w:t>365.60</w:t>
      </w:r>
      <w:r>
        <w:rPr>
          <w:rFonts w:hint="eastAsia" w:ascii="仿宋_GB2312" w:hAnsi="ˎ̥" w:eastAsia="仿宋_GB2312"/>
          <w:sz w:val="32"/>
          <w:szCs w:val="32"/>
        </w:rPr>
        <w:t>万元，支出总计</w:t>
      </w:r>
      <w:r>
        <w:rPr>
          <w:rFonts w:hint="default" w:ascii="仿宋_GB2312" w:hAnsi="ˎ̥" w:eastAsia="仿宋_GB2312"/>
          <w:sz w:val="32"/>
          <w:szCs w:val="32"/>
          <w:lang w:val="en-US"/>
        </w:rPr>
        <w:t>365.60</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sz w:val="32"/>
          <w:szCs w:val="32"/>
          <w:lang w:val="en-US" w:eastAsia="zh-CN"/>
        </w:rPr>
        <w:t>50.41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15.99</w:t>
      </w:r>
      <w:r>
        <w:rPr>
          <w:rFonts w:hint="eastAsia" w:ascii="仿宋_GB2312" w:hAnsi="ˎ̥" w:eastAsia="仿宋_GB2312"/>
          <w:sz w:val="32"/>
          <w:szCs w:val="32"/>
        </w:rPr>
        <w:t>%。主要原因：</w:t>
      </w:r>
      <w:r>
        <w:rPr>
          <w:rFonts w:hint="eastAsia" w:ascii="仿宋_GB2312" w:hAnsi="仿宋" w:eastAsia="仿宋_GB2312" w:cs="仿宋"/>
          <w:color w:val="000000"/>
          <w:sz w:val="32"/>
          <w:szCs w:val="32"/>
          <w:lang w:val="en-US" w:eastAsia="zh-CN"/>
        </w:rPr>
        <w:t>实际基本</w:t>
      </w:r>
      <w:r>
        <w:rPr>
          <w:rFonts w:hint="eastAsia" w:ascii="仿宋_GB2312" w:hAnsi="仿宋" w:eastAsia="仿宋_GB2312" w:cs="仿宋"/>
          <w:color w:val="000000"/>
          <w:sz w:val="32"/>
          <w:szCs w:val="32"/>
        </w:rPr>
        <w:t>支出经费增加</w:t>
      </w:r>
      <w:r>
        <w:rPr>
          <w:rFonts w:hint="eastAsia" w:ascii="仿宋_GB2312" w:hAnsi="ˎ̥" w:eastAsia="仿宋_GB2312"/>
          <w:sz w:val="32"/>
          <w:szCs w:val="32"/>
        </w:rPr>
        <w:t>。</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本年收入</w:t>
      </w:r>
      <w:r>
        <w:rPr>
          <w:rFonts w:hint="default" w:ascii="仿宋_GB2312" w:hAnsi="ˎ̥" w:eastAsia="仿宋_GB2312"/>
          <w:sz w:val="32"/>
          <w:szCs w:val="32"/>
          <w:lang w:val="en-US"/>
        </w:rPr>
        <w:t>365.6</w:t>
      </w:r>
      <w:r>
        <w:rPr>
          <w:rFonts w:hint="eastAsia" w:ascii="仿宋_GB2312" w:hAnsi="ˎ̥" w:eastAsia="仿宋_GB2312"/>
          <w:sz w:val="32"/>
          <w:szCs w:val="32"/>
        </w:rPr>
        <w:t>万元。</w:t>
      </w:r>
    </w:p>
    <w:p w14:paraId="2A7509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sz w:val="32"/>
          <w:szCs w:val="32"/>
          <w:lang w:val="en-US"/>
        </w:rPr>
        <w:t>0.00</w:t>
      </w:r>
      <w:r>
        <w:rPr>
          <w:rFonts w:hint="eastAsia" w:ascii="仿宋_GB2312" w:hAnsi="ˎ̥" w:eastAsia="仿宋_GB2312"/>
          <w:sz w:val="32"/>
          <w:szCs w:val="32"/>
        </w:rPr>
        <w:t>万元。</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336.1</w:t>
      </w:r>
      <w:r>
        <w:rPr>
          <w:rFonts w:hint="eastAsia" w:ascii="仿宋_GB2312" w:hAnsi="ˎ̥" w:eastAsia="仿宋_GB2312"/>
          <w:sz w:val="32"/>
          <w:szCs w:val="32"/>
        </w:rPr>
        <w:t>万元。</w:t>
      </w:r>
    </w:p>
    <w:p w14:paraId="5FC23E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结余分配</w:t>
      </w:r>
      <w:r>
        <w:rPr>
          <w:rFonts w:hint="eastAsia" w:ascii="仿宋_GB2312" w:hAnsi="ˎ̥" w:eastAsia="仿宋_GB2312"/>
          <w:sz w:val="32"/>
          <w:szCs w:val="32"/>
          <w:lang w:val="en-US" w:eastAsia="zh-CN"/>
        </w:rPr>
        <w:t>。</w:t>
      </w:r>
    </w:p>
    <w:p w14:paraId="33C8A0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sz w:val="32"/>
          <w:szCs w:val="32"/>
          <w:lang w:val="en-US"/>
        </w:rPr>
        <w:t>29.50</w:t>
      </w:r>
      <w:r>
        <w:rPr>
          <w:rFonts w:hint="eastAsia" w:ascii="仿宋_GB2312" w:hAnsi="ˎ̥" w:eastAsia="仿宋_GB2312"/>
          <w:sz w:val="32"/>
          <w:szCs w:val="32"/>
        </w:rPr>
        <w:t>万元，主要是2024年货币资金</w:t>
      </w:r>
      <w:r>
        <w:rPr>
          <w:rFonts w:hint="eastAsia" w:ascii="仿宋_GB2312" w:hAnsi="ˎ̥" w:eastAsia="仿宋_GB2312"/>
          <w:sz w:val="32"/>
          <w:szCs w:val="32"/>
          <w:lang w:val="en-US" w:eastAsia="zh-CN"/>
        </w:rPr>
        <w:t>29.5</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29.5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事业收入增加</w:t>
      </w:r>
      <w:r>
        <w:rPr>
          <w:rFonts w:hint="eastAsia" w:ascii="仿宋_GB2312" w:hAnsi="ˎ̥" w:eastAsia="仿宋_GB2312"/>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sz w:val="32"/>
          <w:szCs w:val="32"/>
          <w:lang w:val="en-US"/>
        </w:rPr>
        <w:t>365.60</w:t>
      </w:r>
      <w:r>
        <w:rPr>
          <w:rFonts w:hint="eastAsia" w:ascii="仿宋_GB2312" w:hAnsi="ˎ̥" w:eastAsia="仿宋_GB2312"/>
          <w:sz w:val="32"/>
          <w:szCs w:val="32"/>
        </w:rPr>
        <w:t>万元，其中：财政拨款收入</w:t>
      </w:r>
      <w:r>
        <w:rPr>
          <w:rFonts w:hint="default" w:ascii="仿宋_GB2312" w:hAnsi="ˎ̥" w:eastAsia="仿宋_GB2312"/>
          <w:sz w:val="32"/>
          <w:szCs w:val="32"/>
          <w:lang w:val="en-US"/>
        </w:rPr>
        <w:t>330.63</w:t>
      </w:r>
      <w:r>
        <w:rPr>
          <w:rFonts w:hint="eastAsia" w:ascii="仿宋_GB2312" w:hAnsi="ˎ̥" w:eastAsia="仿宋_GB2312"/>
          <w:sz w:val="32"/>
          <w:szCs w:val="32"/>
        </w:rPr>
        <w:t>万元，占</w:t>
      </w:r>
      <w:r>
        <w:rPr>
          <w:rFonts w:hint="eastAsia" w:ascii="仿宋_GB2312" w:hAnsi="ˎ̥" w:eastAsia="仿宋_GB2312"/>
          <w:sz w:val="32"/>
          <w:szCs w:val="32"/>
          <w:lang w:val="en-US" w:eastAsia="zh-CN"/>
        </w:rPr>
        <w:t>90.43</w:t>
      </w:r>
      <w:r>
        <w:rPr>
          <w:rFonts w:hint="eastAsia" w:ascii="仿宋_GB2312" w:hAnsi="ˎ̥" w:eastAsia="仿宋_GB2312"/>
          <w:sz w:val="32"/>
          <w:szCs w:val="32"/>
        </w:rPr>
        <w:t>%；其他收入</w:t>
      </w:r>
      <w:r>
        <w:rPr>
          <w:rFonts w:hint="default" w:ascii="仿宋_GB2312" w:hAnsi="ˎ̥" w:eastAsia="仿宋_GB2312"/>
          <w:sz w:val="32"/>
          <w:szCs w:val="32"/>
          <w:lang w:val="en-US"/>
        </w:rPr>
        <w:t>34.96</w:t>
      </w:r>
      <w:r>
        <w:rPr>
          <w:rFonts w:hint="eastAsia" w:ascii="仿宋_GB2312" w:hAnsi="ˎ̥" w:eastAsia="仿宋_GB2312"/>
          <w:sz w:val="32"/>
          <w:szCs w:val="32"/>
        </w:rPr>
        <w:t>万元，占</w:t>
      </w:r>
      <w:r>
        <w:rPr>
          <w:rFonts w:hint="eastAsia" w:ascii="仿宋_GB2312" w:hAnsi="ˎ̥" w:eastAsia="仿宋_GB2312"/>
          <w:sz w:val="32"/>
          <w:szCs w:val="32"/>
          <w:lang w:val="en-US" w:eastAsia="zh-CN"/>
        </w:rPr>
        <w:t>9.56</w:t>
      </w:r>
      <w:r>
        <w:rPr>
          <w:rFonts w:hint="eastAsia" w:ascii="仿宋_GB2312" w:hAnsi="ˎ̥" w:eastAsia="仿宋_GB2312"/>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365.6</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365.6</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016471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sz w:val="32"/>
          <w:szCs w:val="32"/>
          <w:lang w:val="en-US"/>
        </w:rPr>
        <w:t>330.63</w:t>
      </w:r>
      <w:r>
        <w:rPr>
          <w:rFonts w:hint="eastAsia" w:ascii="仿宋_GB2312" w:hAnsi="ˎ̥" w:eastAsia="仿宋_GB2312"/>
          <w:sz w:val="32"/>
          <w:szCs w:val="32"/>
        </w:rPr>
        <w:t>万元，支出</w:t>
      </w:r>
      <w:r>
        <w:rPr>
          <w:rFonts w:hint="default" w:ascii="仿宋_GB2312" w:hAnsi="ˎ̥" w:eastAsia="仿宋_GB2312"/>
          <w:sz w:val="32"/>
          <w:szCs w:val="32"/>
          <w:lang w:val="en-US"/>
        </w:rPr>
        <w:t>330.63</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15.44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4.9</w:t>
      </w:r>
      <w:r>
        <w:rPr>
          <w:rFonts w:hint="eastAsia" w:ascii="仿宋_GB2312" w:hAnsi="ˎ̥" w:eastAsia="仿宋_GB2312"/>
          <w:sz w:val="32"/>
          <w:szCs w:val="32"/>
        </w:rPr>
        <w:t>%，主要原因：</w:t>
      </w:r>
      <w:r>
        <w:rPr>
          <w:rFonts w:hint="eastAsia" w:ascii="仿宋_GB2312" w:hAnsi="仿宋" w:eastAsia="仿宋_GB2312" w:cs="仿宋"/>
          <w:color w:val="000000"/>
          <w:sz w:val="32"/>
          <w:szCs w:val="32"/>
          <w:lang w:val="en-US" w:eastAsia="zh-CN"/>
        </w:rPr>
        <w:t>预算基本支出增加</w:t>
      </w:r>
      <w:r>
        <w:rPr>
          <w:rFonts w:hint="eastAsia" w:ascii="仿宋_GB2312" w:hAnsi="ˎ̥" w:eastAsia="仿宋_GB2312"/>
          <w:sz w:val="32"/>
          <w:szCs w:val="32"/>
        </w:rPr>
        <w:t>。</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支出增加</w:t>
      </w:r>
      <w:r>
        <w:rPr>
          <w:rFonts w:hint="eastAsia" w:ascii="仿宋_GB2312" w:hAnsi="ˎ̥" w:eastAsia="仿宋_GB2312"/>
          <w:sz w:val="32"/>
          <w:szCs w:val="32"/>
          <w:lang w:val="en-US" w:eastAsia="zh-CN"/>
        </w:rPr>
        <w:t>15.44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4.9</w:t>
      </w:r>
      <w:r>
        <w:rPr>
          <w:rFonts w:hint="eastAsia" w:ascii="仿宋_GB2312" w:hAnsi="ˎ̥" w:eastAsia="仿宋_GB2312"/>
          <w:sz w:val="32"/>
          <w:szCs w:val="32"/>
        </w:rPr>
        <w:t>%，主要原因</w:t>
      </w:r>
      <w:r>
        <w:rPr>
          <w:rFonts w:hint="eastAsia" w:ascii="仿宋_GB2312" w:hAnsi="仿宋" w:eastAsia="仿宋_GB2312" w:cs="仿宋"/>
          <w:color w:val="000000"/>
          <w:sz w:val="32"/>
          <w:szCs w:val="32"/>
          <w:lang w:val="en-US" w:eastAsia="zh-CN"/>
        </w:rPr>
        <w:t>预算基本支出增加</w:t>
      </w:r>
      <w:r>
        <w:rPr>
          <w:rFonts w:hint="eastAsia" w:ascii="仿宋_GB2312" w:hAnsi="ˎ̥" w:eastAsia="仿宋_GB2312"/>
          <w:sz w:val="32"/>
          <w:szCs w:val="32"/>
        </w:rPr>
        <w:t>。</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5B3F5A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9" w:name="_Toc13694_WPSOffice_Level2"/>
      <w:bookmarkStart w:id="80" w:name="_Toc21737_WPSOffice_Level2"/>
      <w:bookmarkStart w:id="81" w:name="_Toc17398_WPSOffice_Level2"/>
      <w:bookmarkStart w:id="82" w:name="_Toc9989_WPSOffice_Level2"/>
      <w:bookmarkStart w:id="83" w:name="_Toc19665_WPSOffice_Level2"/>
      <w:bookmarkStart w:id="84" w:name="_Toc23005_WPSOffice_Level2"/>
      <w:r>
        <w:rPr>
          <w:rFonts w:hint="eastAsia" w:ascii="楷体" w:hAnsi="楷体" w:eastAsia="楷体" w:cs="楷体"/>
          <w:sz w:val="32"/>
          <w:szCs w:val="32"/>
        </w:rPr>
        <w:t>（一）一般公共预算财政拨款支出决算总体情况</w:t>
      </w:r>
      <w:bookmarkEnd w:id="79"/>
      <w:bookmarkEnd w:id="80"/>
      <w:bookmarkEnd w:id="81"/>
      <w:bookmarkEnd w:id="82"/>
      <w:bookmarkEnd w:id="83"/>
      <w:bookmarkEnd w:id="84"/>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330.63</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98.37</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15.44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4.9</w:t>
      </w:r>
      <w:r>
        <w:rPr>
          <w:rFonts w:hint="eastAsia" w:ascii="仿宋_GB2312" w:hAnsi="ˎ̥" w:eastAsia="仿宋_GB2312"/>
          <w:sz w:val="32"/>
          <w:szCs w:val="32"/>
        </w:rPr>
        <w:t>%，主要原因是</w:t>
      </w:r>
      <w:r>
        <w:rPr>
          <w:rFonts w:hint="eastAsia" w:ascii="仿宋_GB2312" w:hAnsi="仿宋" w:eastAsia="仿宋_GB2312" w:cs="仿宋"/>
          <w:color w:val="000000"/>
          <w:sz w:val="32"/>
          <w:szCs w:val="32"/>
          <w:lang w:val="en-US" w:eastAsia="zh-CN"/>
        </w:rPr>
        <w:t>预算基本支出增加</w:t>
      </w:r>
      <w:r>
        <w:rPr>
          <w:rFonts w:hint="eastAsia" w:ascii="仿宋_GB2312" w:hAnsi="ˎ̥" w:eastAsia="仿宋_GB2312"/>
          <w:sz w:val="32"/>
          <w:szCs w:val="32"/>
        </w:rPr>
        <w:t>。</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5" w:name="_Toc2711_WPSOffice_Level2"/>
      <w:bookmarkStart w:id="86" w:name="_Toc27767_WPSOffice_Level2"/>
      <w:bookmarkStart w:id="87" w:name="_Toc19075_WPSOffice_Level2"/>
      <w:bookmarkStart w:id="88" w:name="_Toc18793_WPSOffice_Level2"/>
      <w:bookmarkStart w:id="89" w:name="_Toc23864_WPSOffice_Level2"/>
      <w:bookmarkStart w:id="90" w:name="_Toc19535_WPSOffice_Level2"/>
      <w:r>
        <w:rPr>
          <w:rFonts w:hint="eastAsia" w:ascii="楷体" w:hAnsi="楷体" w:eastAsia="楷体" w:cs="楷体"/>
          <w:sz w:val="32"/>
          <w:szCs w:val="32"/>
        </w:rPr>
        <w:t>（二）一般公共预算财政拨款支出决算结构情况</w:t>
      </w:r>
      <w:bookmarkEnd w:id="85"/>
      <w:bookmarkEnd w:id="86"/>
      <w:bookmarkEnd w:id="87"/>
      <w:bookmarkEnd w:id="88"/>
      <w:bookmarkEnd w:id="89"/>
      <w:bookmarkEnd w:id="90"/>
    </w:p>
    <w:p w14:paraId="7CB30171">
      <w:pPr>
        <w:ind w:firstLine="640" w:firstLineChars="200"/>
        <w:jc w:val="left"/>
        <w:rPr>
          <w:rFonts w:hint="eastAsia" w:ascii="仿宋" w:hAnsi="仿宋" w:eastAsia="仿宋" w:cs="宋体"/>
          <w:color w:val="FF0000"/>
          <w:kern w:val="0"/>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330.63</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支出5.2</w:t>
      </w:r>
      <w:r>
        <w:rPr>
          <w:rFonts w:hint="eastAsia" w:ascii="仿宋_GB2312" w:hAnsi="ˎ̥" w:eastAsia="仿宋_GB2312"/>
          <w:sz w:val="32"/>
          <w:szCs w:val="32"/>
          <w:lang w:val="en-US" w:eastAsia="zh-CN"/>
        </w:rPr>
        <w:t>0</w:t>
      </w:r>
      <w:r>
        <w:rPr>
          <w:rFonts w:hint="eastAsia" w:ascii="仿宋_GB2312" w:hAnsi="ˎ̥" w:eastAsia="仿宋_GB2312"/>
          <w:sz w:val="32"/>
          <w:szCs w:val="32"/>
        </w:rPr>
        <w:t>万元，占1.57</w:t>
      </w:r>
      <w:r>
        <w:rPr>
          <w:rFonts w:hint="eastAsia" w:ascii="仿宋_GB2312" w:hAnsi="ˎ̥" w:eastAsia="仿宋_GB2312"/>
          <w:sz w:val="32"/>
          <w:szCs w:val="32"/>
          <w:lang w:eastAsia="zh-CN"/>
        </w:rPr>
        <w:t>%</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支出25.82万元，占7.81</w:t>
      </w:r>
      <w:r>
        <w:rPr>
          <w:rFonts w:hint="eastAsia" w:ascii="仿宋_GB2312" w:hAnsi="ˎ̥" w:eastAsia="仿宋_GB2312"/>
          <w:sz w:val="32"/>
          <w:szCs w:val="32"/>
          <w:lang w:eastAsia="zh-CN"/>
        </w:rPr>
        <w:t>%</w:t>
      </w:r>
      <w:r>
        <w:rPr>
          <w:rFonts w:hint="eastAsia" w:ascii="仿宋_GB2312" w:hAnsi="ˎ̥" w:eastAsia="仿宋_GB2312"/>
          <w:sz w:val="32"/>
          <w:szCs w:val="32"/>
        </w:rPr>
        <w:t>；</w:t>
      </w:r>
      <w:r>
        <w:rPr>
          <w:rFonts w:hint="eastAsia" w:ascii="仿宋_GB2312" w:hAnsi="ˎ̥" w:eastAsia="仿宋_GB2312"/>
          <w:b/>
          <w:sz w:val="32"/>
          <w:szCs w:val="32"/>
        </w:rPr>
        <w:t xml:space="preserve">卫生健康支出(类) </w:t>
      </w:r>
      <w:r>
        <w:rPr>
          <w:rFonts w:hint="eastAsia" w:ascii="仿宋_GB2312" w:hAnsi="ˎ̥" w:eastAsia="仿宋_GB2312"/>
          <w:sz w:val="32"/>
          <w:szCs w:val="32"/>
        </w:rPr>
        <w:t>支出259.54</w:t>
      </w:r>
      <w:r>
        <w:rPr>
          <w:rFonts w:hint="eastAsia" w:ascii="仿宋_GB2312" w:hAnsi="ˎ̥" w:eastAsia="仿宋_GB2312"/>
          <w:sz w:val="32"/>
          <w:szCs w:val="32"/>
          <w:lang w:val="en-US" w:eastAsia="zh-CN"/>
        </w:rPr>
        <w:t>万</w:t>
      </w:r>
      <w:r>
        <w:rPr>
          <w:rFonts w:hint="eastAsia" w:ascii="仿宋_GB2312" w:hAnsi="ˎ̥" w:eastAsia="仿宋_GB2312"/>
          <w:sz w:val="32"/>
          <w:szCs w:val="32"/>
        </w:rPr>
        <w:t>元，占78.50%；</w:t>
      </w:r>
      <w:r>
        <w:rPr>
          <w:rFonts w:hint="eastAsia" w:ascii="仿宋_GB2312" w:hAnsi="ˎ̥" w:eastAsia="仿宋_GB2312"/>
          <w:b/>
          <w:sz w:val="32"/>
          <w:szCs w:val="32"/>
        </w:rPr>
        <w:t>住房保障支出(类)</w:t>
      </w:r>
      <w:r>
        <w:rPr>
          <w:rFonts w:hint="eastAsia"/>
        </w:rPr>
        <w:t xml:space="preserve"> </w:t>
      </w:r>
      <w:r>
        <w:rPr>
          <w:rFonts w:hint="eastAsia" w:ascii="仿宋_GB2312" w:hAnsi="ˎ̥" w:eastAsia="仿宋_GB2312"/>
          <w:sz w:val="32"/>
          <w:szCs w:val="32"/>
        </w:rPr>
        <w:t>支出</w:t>
      </w:r>
      <w:r>
        <w:rPr>
          <w:rFonts w:hint="eastAsia" w:ascii="仿宋_GB2312" w:hAnsi="ˎ̥" w:eastAsia="仿宋_GB2312"/>
          <w:sz w:val="32"/>
          <w:szCs w:val="32"/>
          <w:lang w:val="en-US" w:eastAsia="zh-CN"/>
        </w:rPr>
        <w:t>40.07</w:t>
      </w:r>
      <w:r>
        <w:rPr>
          <w:rFonts w:hint="eastAsia" w:ascii="仿宋_GB2312" w:hAnsi="ˎ̥" w:eastAsia="仿宋_GB2312"/>
          <w:sz w:val="32"/>
          <w:szCs w:val="32"/>
        </w:rPr>
        <w:t>万元，占</w:t>
      </w:r>
      <w:r>
        <w:rPr>
          <w:rFonts w:hint="eastAsia" w:ascii="仿宋" w:hAnsi="仿宋" w:eastAsia="仿宋" w:cs="宋体"/>
          <w:color w:val="000000"/>
          <w:kern w:val="0"/>
          <w:sz w:val="32"/>
          <w:szCs w:val="32"/>
        </w:rPr>
        <w:t>12.12%</w:t>
      </w:r>
      <w:r>
        <w:rPr>
          <w:rFonts w:hint="eastAsia" w:ascii="仿宋" w:hAnsi="仿宋" w:eastAsia="仿宋" w:cs="宋体"/>
          <w:color w:val="000000"/>
          <w:kern w:val="0"/>
          <w:sz w:val="32"/>
          <w:szCs w:val="32"/>
          <w:lang w:eastAsia="zh-CN"/>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91" w:name="_Toc21701_WPSOffice_Level2"/>
      <w:bookmarkStart w:id="92" w:name="_Toc22318_WPSOffice_Level2"/>
      <w:bookmarkStart w:id="93" w:name="_Toc25136_WPSOffice_Level2"/>
      <w:bookmarkStart w:id="94" w:name="_Toc9502_WPSOffice_Level2"/>
      <w:bookmarkStart w:id="95" w:name="_Toc29364_WPSOffice_Level2"/>
      <w:bookmarkStart w:id="96" w:name="_Toc15415_WPSOffice_Level2"/>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default" w:ascii="仿宋_GB2312" w:hAnsi="ˎ̥" w:eastAsia="仿宋_GB2312"/>
          <w:sz w:val="32"/>
          <w:szCs w:val="32"/>
          <w:lang w:val="en-US"/>
        </w:rPr>
        <w:t>330.63</w:t>
      </w:r>
      <w:r>
        <w:rPr>
          <w:rFonts w:hint="eastAsia" w:ascii="仿宋_GB2312" w:hAnsi="ˎ̥" w:eastAsia="仿宋_GB2312"/>
          <w:sz w:val="32"/>
          <w:szCs w:val="32"/>
        </w:rPr>
        <w:t>万元，支出决算为</w:t>
      </w:r>
      <w:r>
        <w:rPr>
          <w:rFonts w:hint="default" w:ascii="仿宋_GB2312" w:hAnsi="ˎ̥" w:eastAsia="仿宋_GB2312"/>
          <w:sz w:val="32"/>
          <w:szCs w:val="32"/>
          <w:lang w:val="en-US"/>
        </w:rPr>
        <w:t>330.63</w:t>
      </w:r>
      <w:r>
        <w:rPr>
          <w:rFonts w:hint="eastAsia" w:ascii="仿宋_GB2312" w:hAnsi="ˎ̥" w:eastAsia="仿宋_GB2312"/>
          <w:sz w:val="32"/>
          <w:szCs w:val="32"/>
        </w:rPr>
        <w:t>万</w:t>
      </w:r>
      <w:r>
        <w:rPr>
          <w:rFonts w:hint="eastAsia" w:ascii="楷体" w:hAnsi="楷体" w:eastAsia="楷体" w:cs="楷体"/>
          <w:sz w:val="32"/>
          <w:szCs w:val="32"/>
        </w:rPr>
        <w:t>元，完成</w:t>
      </w:r>
      <w:r>
        <w:rPr>
          <w:rFonts w:hint="eastAsia" w:ascii="仿宋_GB2312" w:hAnsi="ˎ̥" w:eastAsia="仿宋_GB2312"/>
          <w:sz w:val="32"/>
          <w:szCs w:val="32"/>
        </w:rPr>
        <w:t>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%。其中：</w:t>
      </w:r>
    </w:p>
    <w:p w14:paraId="611F4C39">
      <w:pPr>
        <w:ind w:firstLine="645"/>
        <w:rPr>
          <w:rFonts w:hint="eastAsia" w:ascii="仿宋_GB2312" w:hAnsi="仿宋_GB2312" w:eastAsia="仿宋_GB2312" w:cs="仿宋_GB2312"/>
          <w:sz w:val="32"/>
          <w:szCs w:val="32"/>
          <w:lang w:val="en-US" w:eastAsia="zh-CN"/>
        </w:rPr>
      </w:pPr>
      <w:r>
        <w:rPr>
          <w:rFonts w:hint="eastAsia" w:ascii="仿宋_GB2312" w:hAnsi="ˎ̥" w:eastAsia="仿宋_GB2312"/>
          <w:sz w:val="32"/>
          <w:szCs w:val="32"/>
        </w:rPr>
        <w:t>1.</w:t>
      </w:r>
      <w:r>
        <w:rPr>
          <w:rFonts w:hint="eastAsia" w:ascii="仿宋_GB2312" w:hAnsi="ˎ̥" w:eastAsia="仿宋_GB2312"/>
          <w:b/>
          <w:sz w:val="32"/>
          <w:szCs w:val="32"/>
        </w:rPr>
        <w:t>一般公共服务支出（类）群众团体事务（款）</w:t>
      </w:r>
      <w:r>
        <w:rPr>
          <w:rFonts w:hint="eastAsia" w:ascii="仿宋_GB2312" w:hAnsi="ˎ̥" w:eastAsia="仿宋_GB2312"/>
          <w:b/>
          <w:sz w:val="32"/>
          <w:szCs w:val="32"/>
          <w:lang w:val="en-US" w:eastAsia="zh-CN"/>
        </w:rPr>
        <w:t>工会事务</w:t>
      </w:r>
      <w:r>
        <w:rPr>
          <w:rFonts w:hint="eastAsia" w:ascii="仿宋_GB2312" w:hAnsi="ˎ̥" w:eastAsia="仿宋_GB2312"/>
          <w:b/>
          <w:sz w:val="32"/>
          <w:szCs w:val="32"/>
        </w:rPr>
        <w:t>（项）：</w:t>
      </w:r>
      <w:r>
        <w:rPr>
          <w:rFonts w:hint="eastAsia" w:ascii="仿宋_GB2312" w:hAnsi="仿宋_GB2312" w:eastAsia="仿宋_GB2312" w:cs="仿宋_GB2312"/>
          <w:sz w:val="32"/>
          <w:szCs w:val="32"/>
        </w:rPr>
        <w:t>支出决算为5.2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万元，预算为</w:t>
      </w:r>
      <w:r>
        <w:rPr>
          <w:rFonts w:hint="eastAsia" w:ascii="仿宋_GB2312" w:hAnsi="仿宋_GB2312" w:eastAsia="仿宋_GB2312" w:cs="仿宋_GB2312"/>
          <w:sz w:val="32"/>
          <w:szCs w:val="32"/>
          <w:lang w:val="en-US" w:eastAsia="zh-CN"/>
        </w:rPr>
        <w:t>5.20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98E134A">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ˎ̥" w:eastAsia="仿宋_GB2312"/>
          <w:b/>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 xml:space="preserve"> 支出决算为25.82万元，预算为25.82万元，完成预算100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5E05AAD3">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ˎ̥" w:eastAsia="仿宋_GB2312"/>
          <w:b/>
          <w:sz w:val="32"/>
          <w:szCs w:val="32"/>
        </w:rPr>
        <w:t xml:space="preserve">卫生健康支出(类) 基层医疗卫生机构(款)乡镇卫生院(项): </w:t>
      </w:r>
      <w:r>
        <w:rPr>
          <w:rFonts w:hint="eastAsia" w:ascii="仿宋_GB2312" w:hAnsi="仿宋_GB2312" w:eastAsia="仿宋_GB2312" w:cs="仿宋_GB2312"/>
          <w:sz w:val="32"/>
          <w:szCs w:val="32"/>
        </w:rPr>
        <w:t>支出决算为240.89万元，预算为240.89万元，完成预算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 </w:t>
      </w:r>
    </w:p>
    <w:p w14:paraId="14A3C0B6">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ˎ̥" w:eastAsia="仿宋_GB2312"/>
          <w:b/>
          <w:sz w:val="32"/>
          <w:szCs w:val="32"/>
        </w:rPr>
        <w:t xml:space="preserve">卫生健康支出(类) 行政事业单位医疗(款) </w:t>
      </w:r>
      <w:r>
        <w:rPr>
          <w:rFonts w:hint="eastAsia" w:ascii="仿宋_GB2312" w:hAnsi="ˎ̥" w:eastAsia="仿宋_GB2312"/>
          <w:b/>
          <w:sz w:val="32"/>
          <w:szCs w:val="32"/>
          <w:lang w:val="en-US" w:eastAsia="zh-CN"/>
        </w:rPr>
        <w:t>事业</w:t>
      </w:r>
      <w:r>
        <w:rPr>
          <w:rFonts w:hint="eastAsia" w:ascii="仿宋_GB2312" w:hAnsi="ˎ̥" w:eastAsia="仿宋_GB2312"/>
          <w:b/>
          <w:sz w:val="32"/>
          <w:szCs w:val="32"/>
        </w:rPr>
        <w:t>单位医疗(项):</w:t>
      </w:r>
      <w:r>
        <w:rPr>
          <w:rFonts w:hint="eastAsia" w:ascii="仿宋_GB2312" w:hAnsi="仿宋_GB2312" w:eastAsia="仿宋_GB2312" w:cs="仿宋_GB2312"/>
          <w:sz w:val="32"/>
          <w:szCs w:val="32"/>
        </w:rPr>
        <w:t xml:space="preserve"> 支出决算为14.04万元，预算为</w:t>
      </w:r>
      <w:r>
        <w:rPr>
          <w:rFonts w:hint="eastAsia" w:ascii="仿宋_GB2312" w:hAnsi="仿宋_GB2312" w:eastAsia="仿宋_GB2312" w:cs="仿宋_GB2312"/>
          <w:sz w:val="32"/>
          <w:szCs w:val="32"/>
          <w:lang w:val="en-US" w:eastAsia="zh-CN"/>
        </w:rPr>
        <w:t>14.04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74FFE518">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ˎ̥" w:eastAsia="仿宋_GB2312"/>
          <w:b/>
          <w:sz w:val="32"/>
          <w:szCs w:val="32"/>
        </w:rPr>
        <w:t>卫生健康支出(类) 行政事业单位医疗(款) 公务员医疗补助(项):</w:t>
      </w:r>
      <w:r>
        <w:rPr>
          <w:rFonts w:hint="eastAsia" w:ascii="仿宋_GB2312" w:hAnsi="仿宋_GB2312" w:eastAsia="仿宋_GB2312" w:cs="仿宋_GB2312"/>
          <w:sz w:val="32"/>
          <w:szCs w:val="32"/>
        </w:rPr>
        <w:t xml:space="preserve"> 支出决算为2.81万元，预算为</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万元，完成预算1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p>
    <w:p w14:paraId="4AE3245E">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卫</w:t>
      </w:r>
      <w:r>
        <w:rPr>
          <w:rFonts w:hint="eastAsia" w:ascii="仿宋_GB2312" w:hAnsi="ˎ̥" w:eastAsia="仿宋_GB2312"/>
          <w:b/>
          <w:sz w:val="32"/>
          <w:szCs w:val="32"/>
        </w:rPr>
        <w:t>生健康支出(类) 行政事业单位医疗(款) 其他行政事业单位医疗支出(项):</w:t>
      </w:r>
      <w:r>
        <w:rPr>
          <w:rFonts w:hint="eastAsia" w:ascii="仿宋_GB2312" w:hAnsi="仿宋_GB2312" w:eastAsia="仿宋_GB2312" w:cs="仿宋_GB2312"/>
          <w:sz w:val="32"/>
          <w:szCs w:val="32"/>
        </w:rPr>
        <w:t xml:space="preserve"> 支出决算为1.8万元，预算为0万元，完成预算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B53C6F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w:t>
      </w:r>
      <w:r>
        <w:rPr>
          <w:rFonts w:hint="eastAsia" w:ascii="仿宋_GB2312" w:hAnsi="ˎ̥" w:eastAsia="仿宋_GB2312"/>
          <w:b/>
          <w:sz w:val="32"/>
          <w:szCs w:val="32"/>
        </w:rPr>
        <w:t>住房保障支出(类) 住房改革支出(款) 住房公积金(项)</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w:t>
      </w:r>
      <w:r>
        <w:rPr>
          <w:rFonts w:hint="eastAsia" w:ascii="仿宋_GB2312" w:hAnsi="仿宋_GB2312" w:eastAsia="仿宋_GB2312" w:cs="仿宋_GB2312"/>
          <w:sz w:val="32"/>
          <w:szCs w:val="32"/>
        </w:rPr>
        <w:t>支出决算为25.99万元，预算为25.99万元，完成预算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11D586CC">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w:t>
      </w:r>
      <w:r>
        <w:rPr>
          <w:rFonts w:hint="eastAsia" w:ascii="仿宋_GB2312" w:hAnsi="ˎ̥" w:eastAsia="仿宋_GB2312"/>
          <w:b/>
          <w:sz w:val="32"/>
          <w:szCs w:val="32"/>
        </w:rPr>
        <w:t>住房保障支出(类) 住房改革支出(款)购房补贴(项)</w:t>
      </w:r>
      <w:r>
        <w:rPr>
          <w:rFonts w:hint="eastAsia" w:ascii="仿宋_GB2312" w:hAnsi="ˎ̥" w:eastAsia="仿宋_GB2312"/>
          <w:b/>
          <w:sz w:val="32"/>
          <w:szCs w:val="32"/>
          <w:lang w:eastAsia="zh-CN"/>
        </w:rPr>
        <w:t>：</w:t>
      </w:r>
      <w:r>
        <w:rPr>
          <w:rFonts w:hint="eastAsia" w:ascii="仿宋_GB2312" w:hAnsi="仿宋_GB2312" w:eastAsia="仿宋_GB2312" w:cs="仿宋_GB2312"/>
          <w:sz w:val="32"/>
          <w:szCs w:val="32"/>
        </w:rPr>
        <w:t>支出决算为14.08万元，预算为14.08万元，完成预算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3823BC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330.63</w:t>
      </w:r>
      <w:r>
        <w:rPr>
          <w:rFonts w:hint="eastAsia" w:ascii="仿宋_GB2312" w:hAnsi="ˎ̥" w:eastAsia="仿宋_GB2312"/>
          <w:sz w:val="32"/>
          <w:szCs w:val="32"/>
        </w:rPr>
        <w:t>万元，其中：人员经费</w:t>
      </w:r>
      <w:r>
        <w:rPr>
          <w:rFonts w:hint="eastAsia" w:ascii="仿宋_GB2312" w:hAnsi="ˎ̥" w:eastAsia="仿宋_GB2312"/>
          <w:sz w:val="32"/>
          <w:szCs w:val="32"/>
          <w:lang w:val="en-US"/>
        </w:rPr>
        <w:t>312.36</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sz w:val="32"/>
          <w:szCs w:val="32"/>
          <w:lang w:val="en-US"/>
        </w:rPr>
        <w:t>18.27</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C24DF0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66C03B1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sz w:val="32"/>
          <w:szCs w:val="32"/>
        </w:rPr>
      </w:pPr>
      <w:r>
        <w:rPr>
          <w:rFonts w:hint="eastAsia" w:ascii="楷体" w:hAnsi="楷体" w:eastAsia="楷体" w:cs="楷体"/>
          <w:color w:val="auto"/>
          <w:sz w:val="32"/>
          <w:szCs w:val="32"/>
          <w:lang w:eastAsia="zh-CN"/>
        </w:rPr>
        <w:t>林芝市巴宜区</w:t>
      </w:r>
      <w:r>
        <w:rPr>
          <w:rFonts w:hint="eastAsia" w:ascii="楷体" w:hAnsi="楷体" w:eastAsia="楷体" w:cs="楷体"/>
          <w:color w:val="auto"/>
          <w:sz w:val="32"/>
          <w:szCs w:val="32"/>
          <w:lang w:val="en-US" w:eastAsia="zh-CN"/>
        </w:rPr>
        <w:t>百巴镇卫生院2024年度无政府性基金预算财政拨款支出。</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09DB529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林芝市巴宜区</w:t>
      </w:r>
      <w:r>
        <w:rPr>
          <w:rFonts w:hint="eastAsia" w:ascii="楷体" w:hAnsi="楷体" w:eastAsia="楷体" w:cs="楷体"/>
          <w:color w:val="auto"/>
          <w:sz w:val="32"/>
          <w:szCs w:val="32"/>
          <w:lang w:val="en-US" w:eastAsia="zh-CN"/>
        </w:rPr>
        <w:t>百巴镇卫生院2024年度无无国有资本经营预算财政拨款支出。</w:t>
      </w:r>
    </w:p>
    <w:p w14:paraId="60141FC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default" w:ascii="楷体" w:hAnsi="楷体" w:eastAsia="楷体" w:cs="楷体"/>
          <w:color w:val="auto"/>
          <w:sz w:val="32"/>
          <w:szCs w:val="32"/>
          <w:lang w:val="en-US" w:eastAsia="zh-CN"/>
        </w:rPr>
      </w:pP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2024年度财政拨款“三公”经费支出预算为0.2万元，支出决算为0.00万元，完成预算的0%，与2023年度相比，“三公”经费支出减少0.2万元，下降100%，主要原因是当年度实际无支出。</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0.</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%。具体情况如下：</w:t>
      </w:r>
    </w:p>
    <w:p w14:paraId="6482142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FF0000"/>
          <w:sz w:val="32"/>
          <w:szCs w:val="32"/>
          <w:lang w:val="en-US" w:eastAsia="zh-CN"/>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万元。全年安排因公出国（境）团组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人次。开支内容包括：</w:t>
      </w:r>
      <w:r>
        <w:rPr>
          <w:rFonts w:hint="eastAsia" w:ascii="仿宋_GB2312" w:hAnsi="ˎ̥" w:eastAsia="仿宋_GB2312"/>
          <w:color w:val="FF0000"/>
          <w:sz w:val="32"/>
          <w:szCs w:val="32"/>
          <w:lang w:val="en-US" w:eastAsia="zh-CN"/>
        </w:rPr>
        <w:t>无。</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万元。其中：</w:t>
      </w:r>
    </w:p>
    <w:p w14:paraId="0BB159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w:t>
      </w:r>
    </w:p>
    <w:p w14:paraId="2F0F80C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p>
    <w:p w14:paraId="238DB51E">
      <w:pPr>
        <w:ind w:firstLine="640"/>
        <w:rPr>
          <w:rFonts w:hint="eastAsia" w:ascii="仿宋_GB2312" w:hAnsi="仿宋_GB2312" w:eastAsia="仿宋_GB2312" w:cs="仿宋_GB2312"/>
          <w:sz w:val="32"/>
          <w:szCs w:val="32"/>
          <w:lang w:val="en-US" w:eastAsia="zh-CN"/>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sz w:val="32"/>
          <w:szCs w:val="32"/>
          <w:lang w:val="en-US" w:eastAsia="zh-CN"/>
        </w:rPr>
        <w:t>0.2</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0.2</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w:t>
      </w:r>
      <w:r>
        <w:rPr>
          <w:rFonts w:hint="eastAsia" w:ascii="仿宋_GB2312" w:hAnsi="仿宋_GB2312" w:eastAsia="仿宋_GB2312" w:cs="仿宋_GB2312"/>
          <w:sz w:val="32"/>
          <w:szCs w:val="32"/>
          <w:lang w:val="en-US" w:eastAsia="zh-CN"/>
        </w:rPr>
        <w:t>当年度实际无支出。</w:t>
      </w:r>
    </w:p>
    <w:p w14:paraId="4815CAD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万元，其中：</w:t>
      </w:r>
    </w:p>
    <w:p w14:paraId="4AC126C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r>
        <w:rPr>
          <w:rFonts w:hint="eastAsia" w:ascii="仿宋_GB2312" w:hAnsi="ˎ̥" w:eastAsia="仿宋_GB2312"/>
          <w:sz w:val="32"/>
          <w:szCs w:val="32"/>
          <w:lang w:eastAsia="zh-CN"/>
        </w:rPr>
        <w:t>。</w:t>
      </w: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p>
    <w:p w14:paraId="122864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bCs/>
          <w:color w:val="auto"/>
          <w:sz w:val="32"/>
          <w:szCs w:val="32"/>
          <w:lang w:val="en-US" w:eastAsia="zh-CN"/>
        </w:rPr>
      </w:pPr>
      <w:r>
        <w:rPr>
          <w:rFonts w:hint="eastAsia" w:ascii="仿宋_GB2312" w:hAnsi="ˎ̥" w:eastAsia="仿宋_GB2312"/>
          <w:sz w:val="32"/>
          <w:szCs w:val="32"/>
        </w:rPr>
        <w:t>公务接待费支出决算数比预算数增加（减少）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sz w:val="32"/>
          <w:szCs w:val="32"/>
        </w:rPr>
        <w:t>）</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584079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本单位预算绩效自评工作已完成，自评结果为</w:t>
      </w:r>
      <w:r>
        <w:rPr>
          <w:rFonts w:hint="eastAsia" w:ascii="楷体" w:hAnsi="楷体" w:eastAsia="楷体" w:cs="楷体"/>
          <w:b w:val="0"/>
          <w:bCs/>
          <w:color w:val="auto"/>
          <w:sz w:val="32"/>
          <w:szCs w:val="32"/>
          <w:lang w:val="en-US" w:eastAsia="zh-CN"/>
        </w:rPr>
        <w:t>优秀</w:t>
      </w:r>
      <w:r>
        <w:rPr>
          <w:rFonts w:hint="eastAsia" w:ascii="楷体" w:hAnsi="楷体" w:eastAsia="楷体" w:cs="楷体"/>
          <w:b w:val="0"/>
          <w:bCs/>
          <w:color w:val="auto"/>
          <w:sz w:val="32"/>
          <w:szCs w:val="32"/>
          <w:lang w:eastAsia="zh-CN"/>
        </w:rPr>
        <w:t>，本次绩效评价结果客观反映了年度资金使用效率和工作落实成效，为后续制定年度工作计划、设定绩效目标提供了重要参考。</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419A08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无</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14:paraId="1BD1ED8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07FD915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E9DB"/>
    <w:multiLevelType w:val="singleLevel"/>
    <w:tmpl w:val="83ECE9DB"/>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2JhZGEwNGY4MWI0MzM3MTE4NTM3OTVjZGUxNzI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3B6A1B"/>
    <w:rsid w:val="09201287"/>
    <w:rsid w:val="0FC80124"/>
    <w:rsid w:val="136F98C7"/>
    <w:rsid w:val="17427E68"/>
    <w:rsid w:val="1755065F"/>
    <w:rsid w:val="1A4B0DDF"/>
    <w:rsid w:val="1AFC29C9"/>
    <w:rsid w:val="1CA52F2E"/>
    <w:rsid w:val="1DFE370B"/>
    <w:rsid w:val="1E3630B9"/>
    <w:rsid w:val="26EEC2B5"/>
    <w:rsid w:val="29472309"/>
    <w:rsid w:val="2B406E77"/>
    <w:rsid w:val="2B9224AB"/>
    <w:rsid w:val="2C2A0C43"/>
    <w:rsid w:val="2D1E73A5"/>
    <w:rsid w:val="2E377EA4"/>
    <w:rsid w:val="32717154"/>
    <w:rsid w:val="34B63260"/>
    <w:rsid w:val="37FDA7E2"/>
    <w:rsid w:val="3A314D88"/>
    <w:rsid w:val="3A746883"/>
    <w:rsid w:val="3CA15DE9"/>
    <w:rsid w:val="3EC40604"/>
    <w:rsid w:val="3FE61EE5"/>
    <w:rsid w:val="406508EE"/>
    <w:rsid w:val="408D6263"/>
    <w:rsid w:val="41B40CEE"/>
    <w:rsid w:val="41B8723E"/>
    <w:rsid w:val="43CC5934"/>
    <w:rsid w:val="48317291"/>
    <w:rsid w:val="485F7024"/>
    <w:rsid w:val="48E70666"/>
    <w:rsid w:val="4C0A1232"/>
    <w:rsid w:val="4C6877E5"/>
    <w:rsid w:val="4D6A468D"/>
    <w:rsid w:val="4E582F5D"/>
    <w:rsid w:val="4EA86137"/>
    <w:rsid w:val="56CA7FD0"/>
    <w:rsid w:val="57FA38D1"/>
    <w:rsid w:val="5F7D3333"/>
    <w:rsid w:val="5FAD7269"/>
    <w:rsid w:val="61385890"/>
    <w:rsid w:val="62780785"/>
    <w:rsid w:val="6504510C"/>
    <w:rsid w:val="687436E1"/>
    <w:rsid w:val="6B232F2B"/>
    <w:rsid w:val="6DA45C50"/>
    <w:rsid w:val="6E12212D"/>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link w:val="12"/>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3102</Words>
  <Characters>3507</Characters>
  <Lines>67</Lines>
  <Paragraphs>18</Paragraphs>
  <TotalTime>2</TotalTime>
  <ScaleCrop>false</ScaleCrop>
  <LinksUpToDate>false</LinksUpToDate>
  <CharactersWithSpaces>3593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2025-12-31T10:28:24Z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