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60D8D9">
      <w:pPr>
        <w:spacing w:line="576" w:lineRule="exact"/>
        <w:jc w:val="center"/>
        <w:rPr>
          <w:rFonts w:hint="eastAsia" w:ascii="方正小标宋简体" w:eastAsia="方正小标宋简体" w:hAnsiTheme="majorEastAsia" w:cstheme="majorEastAsia"/>
          <w:bCs/>
          <w:sz w:val="44"/>
          <w:szCs w:val="44"/>
        </w:rPr>
      </w:pPr>
      <w:r>
        <w:rPr>
          <w:rFonts w:hint="eastAsia" w:ascii="方正小标宋简体" w:eastAsia="方正小标宋简体" w:hAnsiTheme="majorEastAsia" w:cstheme="majorEastAsia"/>
          <w:bCs/>
          <w:sz w:val="44"/>
          <w:szCs w:val="44"/>
          <w:lang w:eastAsia="zh-CN"/>
        </w:rPr>
        <w:t>中华</w:t>
      </w:r>
      <w:r>
        <w:rPr>
          <w:rFonts w:hint="eastAsia" w:ascii="方正小标宋简体" w:eastAsia="方正小标宋简体" w:hAnsiTheme="majorEastAsia" w:cstheme="majorEastAsia"/>
          <w:bCs/>
          <w:sz w:val="44"/>
          <w:szCs w:val="44"/>
        </w:rPr>
        <w:t>人民</w:t>
      </w:r>
      <w:r>
        <w:rPr>
          <w:rFonts w:hint="eastAsia" w:ascii="方正小标宋简体" w:eastAsia="方正小标宋简体" w:hAnsiTheme="majorEastAsia" w:cstheme="majorEastAsia"/>
          <w:bCs/>
          <w:sz w:val="44"/>
          <w:szCs w:val="44"/>
          <w:lang w:eastAsia="zh-CN"/>
        </w:rPr>
        <w:t>共和国</w:t>
      </w:r>
      <w:r>
        <w:rPr>
          <w:rFonts w:hint="eastAsia" w:ascii="方正小标宋简体" w:eastAsia="方正小标宋简体" w:hAnsiTheme="majorEastAsia" w:cstheme="majorEastAsia"/>
          <w:bCs/>
          <w:sz w:val="44"/>
          <w:szCs w:val="44"/>
        </w:rPr>
        <w:t>政治协商会议林芝市巴宜区委员会办公室2024年度部门决算公开报告</w:t>
      </w:r>
    </w:p>
    <w:p w14:paraId="44F68B76">
      <w:pPr>
        <w:spacing w:line="576" w:lineRule="exact"/>
        <w:jc w:val="center"/>
        <w:rPr>
          <w:rFonts w:ascii="黑体" w:hAnsi="ˎ̥" w:eastAsia="黑体"/>
          <w:b/>
          <w:sz w:val="32"/>
          <w:szCs w:val="32"/>
        </w:rPr>
      </w:pPr>
    </w:p>
    <w:p w14:paraId="60B86A4B">
      <w:pPr>
        <w:spacing w:line="576" w:lineRule="exact"/>
        <w:jc w:val="center"/>
        <w:rPr>
          <w:rFonts w:ascii="黑体" w:hAnsi="黑体" w:eastAsia="黑体" w:cs="黑体"/>
          <w:sz w:val="44"/>
          <w:szCs w:val="44"/>
        </w:rPr>
      </w:pPr>
      <w:bookmarkStart w:id="0" w:name="_Toc11440_WPSOffice_Type2"/>
      <w:r>
        <w:rPr>
          <w:rFonts w:hint="eastAsia" w:ascii="黑体" w:hAnsi="黑体" w:eastAsia="黑体" w:cs="黑体"/>
          <w:sz w:val="44"/>
          <w:szCs w:val="44"/>
        </w:rPr>
        <w:t>目  录</w:t>
      </w:r>
    </w:p>
    <w:p w14:paraId="3671BF5F">
      <w:pPr>
        <w:pStyle w:val="15"/>
        <w:tabs>
          <w:tab w:val="right" w:leader="dot" w:pos="8306"/>
        </w:tabs>
        <w:spacing w:line="576" w:lineRule="exact"/>
        <w:jc w:val="both"/>
        <w:rPr>
          <w:sz w:val="32"/>
          <w:szCs w:val="32"/>
        </w:rPr>
      </w:pPr>
      <w:r>
        <w:fldChar w:fldCharType="begin"/>
      </w:r>
      <w:r>
        <w:instrText xml:space="preserve"> HYPERLINK \l "_Toc1704_WPSOffice_Level1" </w:instrText>
      </w:r>
      <w:r>
        <w:fldChar w:fldCharType="separate"/>
      </w:r>
      <w:r>
        <w:rPr>
          <w:rFonts w:hint="eastAsia" w:ascii="黑体" w:hAnsi="ˎ̥" w:eastAsia="黑体"/>
          <w:sz w:val="32"/>
          <w:szCs w:val="32"/>
        </w:rPr>
        <w:t>第一部分 基本情况</w:t>
      </w:r>
      <w:r>
        <w:rPr>
          <w:sz w:val="32"/>
          <w:szCs w:val="32"/>
        </w:rPr>
        <w:tab/>
      </w:r>
      <w:r>
        <w:rPr>
          <w:sz w:val="32"/>
          <w:szCs w:val="32"/>
        </w:rPr>
        <w:fldChar w:fldCharType="end"/>
      </w:r>
      <w:r>
        <w:rPr>
          <w:rFonts w:hint="eastAsia"/>
          <w:sz w:val="32"/>
          <w:szCs w:val="32"/>
        </w:rPr>
        <w:t>2</w:t>
      </w:r>
    </w:p>
    <w:p w14:paraId="6A1CFED4">
      <w:pPr>
        <w:pStyle w:val="16"/>
        <w:tabs>
          <w:tab w:val="right" w:leader="dot" w:pos="8306"/>
        </w:tabs>
        <w:spacing w:line="576" w:lineRule="exact"/>
        <w:ind w:leftChars="0"/>
        <w:jc w:val="both"/>
        <w:rPr>
          <w:rFonts w:ascii="仿宋" w:hAnsi="仿宋" w:eastAsia="仿宋" w:cs="仿宋"/>
          <w:sz w:val="32"/>
          <w:szCs w:val="32"/>
        </w:rPr>
      </w:pPr>
      <w:r>
        <w:fldChar w:fldCharType="begin"/>
      </w:r>
      <w:r>
        <w:instrText xml:space="preserve"> HYPERLINK \l "_Toc20274_WPSOffice_Level2" </w:instrText>
      </w:r>
      <w:r>
        <w:fldChar w:fldCharType="separate"/>
      </w:r>
      <w:r>
        <w:rPr>
          <w:rFonts w:hint="eastAsia" w:ascii="仿宋" w:hAnsi="仿宋" w:eastAsia="仿宋" w:cs="仿宋"/>
          <w:sz w:val="32"/>
          <w:szCs w:val="32"/>
        </w:rPr>
        <w:t>一、部门（单位）职责</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14:paraId="7BCA9CCB">
      <w:pPr>
        <w:pStyle w:val="16"/>
        <w:tabs>
          <w:tab w:val="right" w:leader="dot" w:pos="8306"/>
        </w:tabs>
        <w:spacing w:line="576" w:lineRule="exact"/>
        <w:ind w:leftChars="0"/>
        <w:jc w:val="both"/>
        <w:rPr>
          <w:rFonts w:ascii="仿宋" w:hAnsi="仿宋" w:eastAsia="仿宋" w:cs="仿宋"/>
          <w:sz w:val="32"/>
          <w:szCs w:val="32"/>
        </w:rPr>
      </w:pPr>
      <w:r>
        <w:fldChar w:fldCharType="begin"/>
      </w:r>
      <w:r>
        <w:instrText xml:space="preserve"> HYPERLINK \l "_Toc4833_WPSOffice_Level2" </w:instrText>
      </w:r>
      <w:r>
        <w:fldChar w:fldCharType="separate"/>
      </w:r>
      <w:r>
        <w:rPr>
          <w:rFonts w:hint="eastAsia" w:ascii="仿宋" w:hAnsi="仿宋" w:eastAsia="仿宋" w:cs="仿宋"/>
          <w:sz w:val="32"/>
          <w:szCs w:val="32"/>
        </w:rPr>
        <w:t>二、机构设置</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14:paraId="46D21464">
      <w:pPr>
        <w:pStyle w:val="15"/>
        <w:tabs>
          <w:tab w:val="right" w:leader="dot" w:pos="8306"/>
        </w:tabs>
        <w:spacing w:line="576" w:lineRule="exact"/>
        <w:jc w:val="both"/>
        <w:rPr>
          <w:sz w:val="32"/>
          <w:szCs w:val="32"/>
        </w:rPr>
      </w:pPr>
      <w:r>
        <w:fldChar w:fldCharType="begin"/>
      </w:r>
      <w:r>
        <w:instrText xml:space="preserve"> HYPERLINK \l "_Toc28253_WPSOffice_Level1" </w:instrText>
      </w:r>
      <w:r>
        <w:fldChar w:fldCharType="separate"/>
      </w:r>
      <w:r>
        <w:rPr>
          <w:rFonts w:hint="eastAsia" w:ascii="黑体" w:hAnsi="ˎ̥" w:eastAsia="黑体"/>
          <w:sz w:val="32"/>
          <w:szCs w:val="32"/>
        </w:rPr>
        <w:t xml:space="preserve">第二部分  </w:t>
      </w:r>
      <w:r>
        <w:rPr>
          <w:rFonts w:ascii="黑体" w:hAnsi="ˎ̥" w:eastAsia="黑体"/>
          <w:sz w:val="32"/>
          <w:szCs w:val="32"/>
        </w:rPr>
        <w:t>2024</w:t>
      </w:r>
      <w:r>
        <w:rPr>
          <w:rFonts w:hint="eastAsia" w:ascii="黑体" w:hAnsi="ˎ̥" w:eastAsia="黑体"/>
          <w:sz w:val="32"/>
          <w:szCs w:val="32"/>
        </w:rPr>
        <w:t>年度部门决算公开表</w:t>
      </w:r>
      <w:r>
        <w:rPr>
          <w:sz w:val="32"/>
          <w:szCs w:val="32"/>
        </w:rPr>
        <w:tab/>
      </w:r>
      <w:r>
        <w:rPr>
          <w:sz w:val="32"/>
          <w:szCs w:val="32"/>
        </w:rPr>
        <w:fldChar w:fldCharType="end"/>
      </w:r>
      <w:r>
        <w:rPr>
          <w:rFonts w:hint="eastAsia"/>
          <w:sz w:val="32"/>
          <w:szCs w:val="32"/>
        </w:rPr>
        <w:t>2</w:t>
      </w:r>
    </w:p>
    <w:p w14:paraId="73233648">
      <w:pPr>
        <w:pStyle w:val="15"/>
        <w:tabs>
          <w:tab w:val="right" w:leader="dot" w:pos="8306"/>
        </w:tabs>
        <w:spacing w:line="576" w:lineRule="exact"/>
        <w:jc w:val="both"/>
        <w:rPr>
          <w:sz w:val="32"/>
          <w:szCs w:val="32"/>
        </w:rPr>
      </w:pPr>
      <w:r>
        <w:fldChar w:fldCharType="begin"/>
      </w:r>
      <w:r>
        <w:instrText xml:space="preserve"> HYPERLINK \l "_Toc27590_WPSOffice_Level1" </w:instrText>
      </w:r>
      <w:r>
        <w:fldChar w:fldCharType="separate"/>
      </w:r>
      <w:r>
        <w:rPr>
          <w:rFonts w:hint="eastAsia" w:ascii="黑体" w:hAnsi="黑体" w:eastAsia="黑体" w:cs="黑体"/>
          <w:sz w:val="32"/>
          <w:szCs w:val="32"/>
        </w:rPr>
        <w:t>第三部分</w:t>
      </w:r>
      <w:r>
        <w:rPr>
          <w:rFonts w:ascii="黑体" w:hAnsi="ˎ̥" w:eastAsia="黑体"/>
          <w:sz w:val="32"/>
          <w:szCs w:val="32"/>
        </w:rPr>
        <w:t>2024</w:t>
      </w:r>
      <w:r>
        <w:rPr>
          <w:rFonts w:hint="eastAsia" w:ascii="黑体" w:hAnsi="ˎ̥" w:eastAsia="黑体"/>
          <w:sz w:val="32"/>
          <w:szCs w:val="32"/>
        </w:rPr>
        <w:t>年度部门决算情况说明</w:t>
      </w:r>
      <w:r>
        <w:rPr>
          <w:sz w:val="32"/>
          <w:szCs w:val="32"/>
        </w:rPr>
        <w:tab/>
      </w:r>
      <w:r>
        <w:rPr>
          <w:sz w:val="32"/>
          <w:szCs w:val="32"/>
        </w:rPr>
        <w:fldChar w:fldCharType="end"/>
      </w:r>
      <w:r>
        <w:rPr>
          <w:rFonts w:hint="eastAsia"/>
          <w:sz w:val="32"/>
          <w:szCs w:val="32"/>
        </w:rPr>
        <w:t>3</w:t>
      </w:r>
    </w:p>
    <w:p w14:paraId="01CF6AD7">
      <w:pPr>
        <w:pStyle w:val="16"/>
        <w:tabs>
          <w:tab w:val="right" w:leader="dot" w:pos="8306"/>
        </w:tabs>
        <w:spacing w:line="576" w:lineRule="exact"/>
        <w:ind w:leftChars="0"/>
        <w:jc w:val="both"/>
        <w:rPr>
          <w:rFonts w:ascii="仿宋" w:hAnsi="仿宋" w:eastAsia="仿宋" w:cs="仿宋"/>
          <w:sz w:val="32"/>
          <w:szCs w:val="32"/>
        </w:rPr>
      </w:pPr>
      <w:r>
        <w:fldChar w:fldCharType="begin"/>
      </w:r>
      <w:r>
        <w:instrText xml:space="preserve"> HYPERLINK \l "_Toc21737_WPSOffice_Level2" </w:instrText>
      </w:r>
      <w:r>
        <w:fldChar w:fldCharType="separate"/>
      </w:r>
      <w:r>
        <w:rPr>
          <w:rFonts w:hint="eastAsia" w:ascii="仿宋" w:hAnsi="仿宋" w:eastAsia="仿宋" w:cs="仿宋"/>
          <w:bCs/>
          <w:sz w:val="32"/>
          <w:szCs w:val="32"/>
        </w:rPr>
        <w:t>一、收入支出总体情况说明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3</w:t>
      </w:r>
    </w:p>
    <w:p w14:paraId="770E26D6">
      <w:pPr>
        <w:pStyle w:val="16"/>
        <w:tabs>
          <w:tab w:val="right" w:leader="dot" w:pos="8306"/>
        </w:tabs>
        <w:spacing w:line="576" w:lineRule="exact"/>
        <w:ind w:leftChars="0"/>
        <w:jc w:val="both"/>
        <w:rPr>
          <w:rFonts w:ascii="仿宋" w:hAnsi="仿宋" w:eastAsia="仿宋" w:cs="仿宋"/>
          <w:sz w:val="32"/>
          <w:szCs w:val="32"/>
        </w:rPr>
      </w:pPr>
      <w:r>
        <w:fldChar w:fldCharType="begin"/>
      </w:r>
      <w:r>
        <w:instrText xml:space="preserve"> HYPERLINK \l "_Toc19535_WPSOffice_Level2" </w:instrText>
      </w:r>
      <w:r>
        <w:fldChar w:fldCharType="separate"/>
      </w:r>
      <w:r>
        <w:rPr>
          <w:rFonts w:hint="eastAsia" w:ascii="仿宋" w:hAnsi="仿宋" w:eastAsia="仿宋" w:cs="仿宋"/>
          <w:bCs/>
          <w:sz w:val="32"/>
          <w:szCs w:val="32"/>
        </w:rPr>
        <w:t>二、收入决算情况说明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14:paraId="74092DAB">
      <w:pPr>
        <w:pStyle w:val="16"/>
        <w:tabs>
          <w:tab w:val="right" w:leader="dot" w:pos="8306"/>
        </w:tabs>
        <w:spacing w:line="576" w:lineRule="exact"/>
        <w:ind w:leftChars="0"/>
        <w:jc w:val="both"/>
        <w:rPr>
          <w:rFonts w:ascii="仿宋" w:hAnsi="仿宋" w:eastAsia="仿宋" w:cs="仿宋"/>
          <w:sz w:val="32"/>
          <w:szCs w:val="32"/>
        </w:rPr>
      </w:pPr>
      <w:r>
        <w:fldChar w:fldCharType="begin"/>
      </w:r>
      <w:r>
        <w:instrText xml:space="preserve"> HYPERLINK \l "_Toc19535_WPSOffice_Level2" </w:instrText>
      </w:r>
      <w:r>
        <w:fldChar w:fldCharType="separate"/>
      </w:r>
      <w:r>
        <w:rPr>
          <w:rFonts w:hint="eastAsia" w:ascii="仿宋" w:hAnsi="仿宋" w:eastAsia="仿宋" w:cs="仿宋"/>
          <w:bCs/>
          <w:sz w:val="32"/>
          <w:szCs w:val="32"/>
        </w:rPr>
        <w:t>三、支出决算情况说明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14:paraId="2AB22147">
      <w:pPr>
        <w:pStyle w:val="16"/>
        <w:tabs>
          <w:tab w:val="right" w:leader="dot" w:pos="8306"/>
        </w:tabs>
        <w:spacing w:line="576" w:lineRule="exact"/>
        <w:ind w:leftChars="0"/>
        <w:jc w:val="both"/>
        <w:rPr>
          <w:rFonts w:ascii="仿宋" w:hAnsi="仿宋" w:eastAsia="仿宋" w:cs="仿宋"/>
          <w:sz w:val="32"/>
          <w:szCs w:val="32"/>
        </w:rPr>
      </w:pPr>
      <w:r>
        <w:fldChar w:fldCharType="begin"/>
      </w:r>
      <w:r>
        <w:instrText xml:space="preserve"> HYPERLINK \l "_Toc19535_WPSOffice_Level2" </w:instrText>
      </w:r>
      <w:r>
        <w:fldChar w:fldCharType="separate"/>
      </w:r>
      <w:r>
        <w:rPr>
          <w:rFonts w:hint="eastAsia" w:ascii="仿宋" w:hAnsi="仿宋" w:eastAsia="仿宋" w:cs="仿宋"/>
          <w:bCs/>
          <w:sz w:val="32"/>
          <w:szCs w:val="32"/>
        </w:rPr>
        <w:t>四、财政拨款收入支出决算总体情况说明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14:paraId="19F56A3D">
      <w:pPr>
        <w:pStyle w:val="16"/>
        <w:tabs>
          <w:tab w:val="right" w:leader="dot" w:pos="8306"/>
        </w:tabs>
        <w:spacing w:line="576" w:lineRule="exact"/>
        <w:ind w:leftChars="0"/>
        <w:jc w:val="both"/>
        <w:rPr>
          <w:rFonts w:ascii="仿宋" w:hAnsi="仿宋" w:eastAsia="仿宋" w:cs="仿宋"/>
          <w:sz w:val="32"/>
          <w:szCs w:val="32"/>
        </w:rPr>
      </w:pPr>
      <w:r>
        <w:fldChar w:fldCharType="begin"/>
      </w:r>
      <w:r>
        <w:instrText xml:space="preserve"> HYPERLINK \l "_Toc19535_WPSOffice_Level2" </w:instrText>
      </w:r>
      <w:r>
        <w:fldChar w:fldCharType="separate"/>
      </w:r>
      <w:r>
        <w:rPr>
          <w:rFonts w:hint="eastAsia" w:ascii="仿宋" w:hAnsi="仿宋" w:eastAsia="仿宋" w:cs="仿宋"/>
          <w:bCs/>
          <w:sz w:val="32"/>
          <w:szCs w:val="32"/>
        </w:rPr>
        <w:t>五、一般公共预算财政拨款支出决算情况说明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5</w:t>
      </w:r>
    </w:p>
    <w:p w14:paraId="11AD0D86">
      <w:pPr>
        <w:pStyle w:val="16"/>
        <w:tabs>
          <w:tab w:val="right" w:leader="dot" w:pos="8306"/>
        </w:tabs>
        <w:spacing w:line="576" w:lineRule="exact"/>
        <w:ind w:leftChars="0"/>
        <w:jc w:val="both"/>
        <w:rPr>
          <w:rFonts w:ascii="仿宋" w:hAnsi="仿宋" w:eastAsia="仿宋" w:cs="仿宋"/>
          <w:sz w:val="32"/>
          <w:szCs w:val="32"/>
        </w:rPr>
      </w:pPr>
      <w:r>
        <w:fldChar w:fldCharType="begin"/>
      </w:r>
      <w:r>
        <w:instrText xml:space="preserve"> HYPERLINK \l "_Toc19535_WPSOffice_Level2" </w:instrText>
      </w:r>
      <w:r>
        <w:fldChar w:fldCharType="separate"/>
      </w:r>
      <w:r>
        <w:rPr>
          <w:rFonts w:hint="eastAsia" w:ascii="仿宋" w:hAnsi="仿宋" w:eastAsia="仿宋" w:cs="仿宋"/>
          <w:bCs/>
          <w:sz w:val="32"/>
          <w:szCs w:val="32"/>
        </w:rPr>
        <w:t>六、一般公共预算财政拨款基本支出决算情况说明</w:t>
      </w:r>
      <w:r>
        <w:rPr>
          <w:rFonts w:hint="eastAsia" w:ascii="仿宋" w:hAnsi="仿宋" w:eastAsia="仿宋" w:cs="仿宋"/>
          <w:bCs/>
          <w:sz w:val="32"/>
          <w:szCs w:val="32"/>
        </w:rPr>
        <w:fldChar w:fldCharType="end"/>
      </w:r>
      <w:r>
        <w:rPr>
          <w:rFonts w:hint="eastAsia" w:ascii="仿宋" w:hAnsi="仿宋" w:eastAsia="仿宋" w:cs="仿宋"/>
          <w:sz w:val="32"/>
          <w:szCs w:val="32"/>
        </w:rPr>
        <w:tab/>
      </w:r>
      <w:r>
        <w:rPr>
          <w:rFonts w:hint="eastAsia" w:ascii="仿宋" w:hAnsi="仿宋" w:eastAsia="仿宋" w:cs="仿宋"/>
          <w:sz w:val="32"/>
          <w:szCs w:val="32"/>
        </w:rPr>
        <w:t>6</w:t>
      </w:r>
    </w:p>
    <w:p w14:paraId="38F57E5D">
      <w:pPr>
        <w:pStyle w:val="16"/>
        <w:numPr>
          <w:ilvl w:val="0"/>
          <w:numId w:val="1"/>
        </w:numPr>
        <w:tabs>
          <w:tab w:val="right" w:leader="dot" w:pos="8306"/>
        </w:tabs>
        <w:spacing w:line="576" w:lineRule="exact"/>
        <w:ind w:leftChars="0"/>
        <w:jc w:val="both"/>
        <w:rPr>
          <w:rFonts w:ascii="仿宋" w:hAnsi="仿宋" w:eastAsia="仿宋" w:cs="仿宋"/>
          <w:sz w:val="32"/>
          <w:szCs w:val="32"/>
        </w:rPr>
      </w:pPr>
      <w:r>
        <w:rPr>
          <w:rFonts w:hint="eastAsia" w:ascii="仿宋" w:hAnsi="仿宋" w:eastAsia="仿宋" w:cs="仿宋"/>
          <w:bCs/>
          <w:sz w:val="32"/>
          <w:szCs w:val="32"/>
        </w:rPr>
        <w:t>政府性基金预算财政拨款支出决算情况说明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7</w:t>
      </w:r>
    </w:p>
    <w:p w14:paraId="6A08ACDE">
      <w:pPr>
        <w:pStyle w:val="16"/>
        <w:numPr>
          <w:ilvl w:val="0"/>
          <w:numId w:val="1"/>
        </w:numPr>
        <w:tabs>
          <w:tab w:val="right" w:leader="dot" w:pos="8306"/>
        </w:tabs>
        <w:spacing w:line="576" w:lineRule="exact"/>
        <w:ind w:leftChars="0"/>
        <w:jc w:val="both"/>
        <w:rPr>
          <w:rFonts w:ascii="仿宋" w:hAnsi="仿宋" w:eastAsia="仿宋" w:cs="仿宋"/>
          <w:sz w:val="32"/>
          <w:szCs w:val="32"/>
        </w:rPr>
      </w:pPr>
      <w:r>
        <w:rPr>
          <w:rFonts w:hint="eastAsia" w:ascii="仿宋" w:hAnsi="仿宋" w:eastAsia="仿宋" w:cs="仿宋"/>
          <w:bCs/>
          <w:sz w:val="32"/>
          <w:szCs w:val="32"/>
        </w:rPr>
        <w:t>国有资本经营预算财政拨款支出决算情况说明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8</w:t>
      </w:r>
    </w:p>
    <w:p w14:paraId="4BCFB366">
      <w:pPr>
        <w:pStyle w:val="16"/>
        <w:tabs>
          <w:tab w:val="right" w:leader="dot" w:pos="8306"/>
        </w:tabs>
        <w:spacing w:line="576" w:lineRule="exact"/>
        <w:ind w:leftChars="0"/>
        <w:jc w:val="both"/>
        <w:rPr>
          <w:rFonts w:ascii="仿宋" w:hAnsi="仿宋" w:eastAsia="仿宋" w:cs="仿宋"/>
          <w:sz w:val="32"/>
          <w:szCs w:val="32"/>
        </w:rPr>
      </w:pPr>
      <w:r>
        <w:fldChar w:fldCharType="begin"/>
      </w:r>
      <w:r>
        <w:instrText xml:space="preserve"> HYPERLINK \l "_Toc19535_WPSOffice_Level2" </w:instrText>
      </w:r>
      <w:r>
        <w:fldChar w:fldCharType="separate"/>
      </w:r>
      <w:r>
        <w:rPr>
          <w:rFonts w:hint="eastAsia" w:ascii="仿宋" w:hAnsi="仿宋" w:eastAsia="仿宋" w:cs="仿宋"/>
          <w:bCs/>
          <w:sz w:val="32"/>
          <w:szCs w:val="32"/>
        </w:rPr>
        <w:t>九、财政拨款“三公”经费支出决算情况说明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9</w:t>
      </w:r>
    </w:p>
    <w:p w14:paraId="0C610145">
      <w:pPr>
        <w:pStyle w:val="16"/>
        <w:tabs>
          <w:tab w:val="right" w:leader="dot" w:pos="8306"/>
        </w:tabs>
        <w:spacing w:line="576" w:lineRule="exact"/>
        <w:ind w:leftChars="0"/>
        <w:jc w:val="both"/>
        <w:rPr>
          <w:rFonts w:ascii="仿宋" w:hAnsi="仿宋" w:eastAsia="仿宋" w:cs="仿宋"/>
          <w:sz w:val="32"/>
          <w:szCs w:val="32"/>
        </w:rPr>
      </w:pPr>
      <w:r>
        <w:fldChar w:fldCharType="begin"/>
      </w:r>
      <w:r>
        <w:instrText xml:space="preserve"> HYPERLINK \l "_Toc19535_WPSOffice_Level2" </w:instrText>
      </w:r>
      <w:r>
        <w:fldChar w:fldCharType="separate"/>
      </w:r>
      <w:r>
        <w:rPr>
          <w:rFonts w:hint="eastAsia" w:ascii="仿宋" w:hAnsi="仿宋" w:eastAsia="仿宋" w:cs="仿宋"/>
          <w:bCs/>
          <w:sz w:val="32"/>
          <w:szCs w:val="32"/>
        </w:rPr>
        <w:t>十、预算绩效情况说明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11</w:t>
      </w:r>
    </w:p>
    <w:p w14:paraId="67B45229">
      <w:pPr>
        <w:pStyle w:val="16"/>
        <w:tabs>
          <w:tab w:val="right" w:leader="dot" w:pos="8306"/>
        </w:tabs>
        <w:spacing w:line="576" w:lineRule="exact"/>
        <w:ind w:leftChars="0"/>
        <w:jc w:val="both"/>
        <w:rPr>
          <w:rFonts w:ascii="仿宋" w:hAnsi="仿宋" w:eastAsia="仿宋" w:cs="仿宋"/>
          <w:sz w:val="32"/>
          <w:szCs w:val="32"/>
        </w:rPr>
      </w:pPr>
      <w:r>
        <w:rPr>
          <w:rFonts w:hint="eastAsia" w:ascii="仿宋" w:hAnsi="仿宋" w:eastAsia="仿宋" w:cs="仿宋"/>
          <w:bCs/>
          <w:sz w:val="32"/>
          <w:szCs w:val="32"/>
        </w:rPr>
        <w:t>十一、其他重要事项情况说明</w:t>
      </w:r>
      <w:r>
        <w:rPr>
          <w:rFonts w:hint="eastAsia" w:ascii="仿宋" w:hAnsi="仿宋" w:eastAsia="仿宋" w:cs="仿宋"/>
          <w:sz w:val="32"/>
          <w:szCs w:val="32"/>
        </w:rPr>
        <w:tab/>
      </w:r>
      <w:r>
        <w:rPr>
          <w:rFonts w:hint="eastAsia" w:ascii="仿宋" w:hAnsi="仿宋" w:eastAsia="仿宋" w:cs="仿宋"/>
          <w:sz w:val="32"/>
          <w:szCs w:val="32"/>
        </w:rPr>
        <w:t>13</w:t>
      </w:r>
    </w:p>
    <w:p w14:paraId="122B8C11">
      <w:pPr>
        <w:pStyle w:val="15"/>
        <w:tabs>
          <w:tab w:val="right" w:leader="dot" w:pos="8306"/>
        </w:tabs>
        <w:spacing w:line="576" w:lineRule="exact"/>
        <w:jc w:val="both"/>
        <w:rPr>
          <w:rFonts w:ascii="黑体" w:hAnsi="ˎ̥"/>
          <w:b/>
          <w:sz w:val="32"/>
          <w:szCs w:val="32"/>
        </w:rPr>
      </w:pPr>
      <w:r>
        <w:fldChar w:fldCharType="begin"/>
      </w:r>
      <w:r>
        <w:instrText xml:space="preserve"> HYPERLINK \l "_Toc15425_WPSOffice_Level1" </w:instrText>
      </w:r>
      <w:r>
        <w:fldChar w:fldCharType="separate"/>
      </w:r>
      <w:r>
        <w:rPr>
          <w:rFonts w:hint="eastAsia" w:ascii="黑体" w:hAnsi="ˎ̥" w:eastAsia="黑体"/>
          <w:sz w:val="32"/>
          <w:szCs w:val="32"/>
        </w:rPr>
        <w:t>第四部分  名词解释</w:t>
      </w:r>
      <w:r>
        <w:rPr>
          <w:sz w:val="32"/>
          <w:szCs w:val="32"/>
        </w:rPr>
        <w:tab/>
      </w:r>
      <w:bookmarkStart w:id="1" w:name="_Toc15425_WPSOffice_Level1Page"/>
      <w:r>
        <w:rPr>
          <w:sz w:val="32"/>
          <w:szCs w:val="32"/>
        </w:rPr>
        <w:t>1</w:t>
      </w:r>
      <w:bookmarkEnd w:id="1"/>
      <w:r>
        <w:rPr>
          <w:sz w:val="32"/>
          <w:szCs w:val="32"/>
        </w:rPr>
        <w:fldChar w:fldCharType="end"/>
      </w:r>
      <w:bookmarkEnd w:id="0"/>
      <w:bookmarkStart w:id="2" w:name="_Toc10720_WPSOffice_Level1"/>
      <w:bookmarkStart w:id="3" w:name="_Toc1704_WPSOffice_Level1"/>
      <w:bookmarkStart w:id="4" w:name="_Toc32433_WPSOffice_Level1"/>
      <w:bookmarkStart w:id="5" w:name="_Toc10049_WPSOffice_Level1"/>
      <w:bookmarkStart w:id="6" w:name="_Toc22941_WPSOffice_Level1"/>
      <w:bookmarkStart w:id="7" w:name="_Toc23465_WPSOffice_Level1"/>
      <w:bookmarkStart w:id="8" w:name="_Toc24238_WPSOffice_Level2"/>
      <w:bookmarkStart w:id="9" w:name="_Toc32622_WPSOffice_Level2"/>
      <w:bookmarkStart w:id="10" w:name="_Toc20205_WPSOffice_Level2"/>
      <w:bookmarkStart w:id="11" w:name="_Toc20274_WPSOffice_Level2"/>
      <w:bookmarkStart w:id="12" w:name="_Toc14159_WPSOffice_Level2"/>
      <w:bookmarkStart w:id="13" w:name="_Toc26580_WPSOffice_Level2"/>
    </w:p>
    <w:p w14:paraId="0386603F">
      <w:pPr>
        <w:spacing w:line="576" w:lineRule="exact"/>
        <w:rPr>
          <w:rFonts w:hint="eastAsia" w:ascii="黑体" w:hAnsi="ˎ̥" w:eastAsia="黑体"/>
          <w:sz w:val="32"/>
          <w:szCs w:val="32"/>
        </w:rPr>
      </w:pPr>
    </w:p>
    <w:p w14:paraId="39D8ED99">
      <w:pPr>
        <w:spacing w:line="576" w:lineRule="exact"/>
        <w:jc w:val="center"/>
        <w:rPr>
          <w:rFonts w:ascii="黑体" w:hAnsi="ˎ̥" w:eastAsia="黑体"/>
          <w:sz w:val="32"/>
          <w:szCs w:val="32"/>
        </w:rPr>
      </w:pPr>
      <w:r>
        <w:rPr>
          <w:rFonts w:hint="eastAsia" w:ascii="黑体" w:hAnsi="ˎ̥" w:eastAsia="黑体"/>
          <w:sz w:val="32"/>
          <w:szCs w:val="32"/>
        </w:rPr>
        <w:t xml:space="preserve">第一部分  </w:t>
      </w:r>
      <w:bookmarkEnd w:id="2"/>
      <w:bookmarkEnd w:id="3"/>
      <w:bookmarkEnd w:id="4"/>
      <w:bookmarkEnd w:id="5"/>
      <w:bookmarkEnd w:id="6"/>
      <w:bookmarkEnd w:id="7"/>
      <w:r>
        <w:rPr>
          <w:rFonts w:hint="eastAsia" w:ascii="黑体" w:hAnsi="ˎ̥" w:eastAsia="黑体"/>
          <w:sz w:val="32"/>
          <w:szCs w:val="32"/>
        </w:rPr>
        <w:t>基本情况</w:t>
      </w:r>
    </w:p>
    <w:p w14:paraId="795D4F0B">
      <w:pPr>
        <w:spacing w:line="576" w:lineRule="exact"/>
        <w:ind w:firstLine="640" w:firstLineChars="200"/>
        <w:rPr>
          <w:rFonts w:ascii="黑体" w:hAnsi="ˎ̥" w:eastAsia="黑体"/>
          <w:sz w:val="32"/>
          <w:szCs w:val="32"/>
        </w:rPr>
      </w:pPr>
      <w:r>
        <w:rPr>
          <w:rFonts w:hint="eastAsia" w:ascii="黑体" w:hAnsi="ˎ̥" w:eastAsia="黑体"/>
          <w:sz w:val="32"/>
          <w:szCs w:val="32"/>
        </w:rPr>
        <w:t>一、</w:t>
      </w:r>
      <w:r>
        <w:rPr>
          <w:rFonts w:hint="eastAsia" w:ascii="黑体" w:hAnsi="黑体" w:eastAsia="黑体" w:cs="黑体"/>
          <w:sz w:val="32"/>
          <w:szCs w:val="32"/>
        </w:rPr>
        <w:t>部门</w:t>
      </w:r>
      <w:bookmarkEnd w:id="8"/>
      <w:r>
        <w:rPr>
          <w:rFonts w:hint="eastAsia" w:ascii="黑体" w:hAnsi="黑体" w:eastAsia="黑体" w:cs="黑体"/>
          <w:sz w:val="32"/>
          <w:szCs w:val="32"/>
        </w:rPr>
        <w:t>（单位）职责</w:t>
      </w:r>
      <w:bookmarkEnd w:id="9"/>
      <w:bookmarkEnd w:id="10"/>
      <w:bookmarkEnd w:id="11"/>
      <w:bookmarkEnd w:id="12"/>
      <w:bookmarkEnd w:id="13"/>
    </w:p>
    <w:p w14:paraId="5EE1D2DF">
      <w:pPr>
        <w:widowControl/>
        <w:shd w:val="clear" w:color="auto" w:fill="FFFFFF"/>
        <w:spacing w:line="576" w:lineRule="exact"/>
        <w:ind w:firstLine="640" w:firstLineChars="200"/>
        <w:rPr>
          <w:rFonts w:ascii="仿宋_GB2312" w:hAnsi="仿宋" w:eastAsia="仿宋_GB2312" w:cs="宋体"/>
          <w:bCs/>
          <w:kern w:val="0"/>
          <w:sz w:val="32"/>
          <w:szCs w:val="32"/>
        </w:rPr>
      </w:pPr>
      <w:r>
        <w:rPr>
          <w:rFonts w:hint="eastAsia" w:ascii="仿宋_GB2312" w:hAnsi="仿宋" w:eastAsia="仿宋_GB2312" w:cs="宋体"/>
          <w:bCs/>
          <w:kern w:val="0"/>
          <w:sz w:val="32"/>
          <w:szCs w:val="32"/>
        </w:rPr>
        <w:t>区政协办公室是</w:t>
      </w:r>
      <w:r>
        <w:rPr>
          <w:rFonts w:hint="eastAsia" w:ascii="仿宋_GB2312" w:hAnsi="仿宋" w:eastAsia="仿宋_GB2312" w:cs="宋体"/>
          <w:bCs/>
          <w:kern w:val="0"/>
          <w:sz w:val="32"/>
          <w:szCs w:val="32"/>
          <w:lang w:eastAsia="zh-CN"/>
        </w:rPr>
        <w:t>区</w:t>
      </w:r>
      <w:r>
        <w:rPr>
          <w:rFonts w:hint="eastAsia" w:ascii="仿宋_GB2312" w:hAnsi="仿宋" w:eastAsia="仿宋_GB2312" w:cs="宋体"/>
          <w:bCs/>
          <w:kern w:val="0"/>
          <w:sz w:val="32"/>
          <w:szCs w:val="32"/>
        </w:rPr>
        <w:t>政协的综合办事机构，承担为区政协履职政治协商、民主监督、参政议政</w:t>
      </w:r>
      <w:r>
        <w:rPr>
          <w:rFonts w:hint="eastAsia" w:ascii="仿宋_GB2312" w:hAnsi="仿宋" w:eastAsia="仿宋_GB2312" w:cs="宋体"/>
          <w:bCs/>
          <w:kern w:val="0"/>
          <w:sz w:val="32"/>
          <w:szCs w:val="32"/>
          <w:lang w:eastAsia="zh-CN"/>
        </w:rPr>
        <w:t>等</w:t>
      </w:r>
      <w:r>
        <w:rPr>
          <w:rFonts w:hint="eastAsia" w:ascii="仿宋_GB2312" w:hAnsi="仿宋" w:eastAsia="仿宋_GB2312" w:cs="宋体"/>
          <w:bCs/>
          <w:kern w:val="0"/>
          <w:sz w:val="32"/>
          <w:szCs w:val="32"/>
        </w:rPr>
        <w:t>职能服务的各项工作。主要职责是：</w:t>
      </w:r>
    </w:p>
    <w:p w14:paraId="4F2F4C7E">
      <w:pPr>
        <w:widowControl/>
        <w:shd w:val="clear" w:color="auto" w:fill="FFFFFF"/>
        <w:spacing w:line="576" w:lineRule="exact"/>
        <w:ind w:firstLine="640" w:firstLineChars="200"/>
        <w:rPr>
          <w:rFonts w:ascii="仿宋_GB2312" w:hAnsi="仿宋" w:eastAsia="仿宋_GB2312" w:cs="宋体"/>
          <w:bCs/>
          <w:kern w:val="0"/>
          <w:sz w:val="32"/>
          <w:szCs w:val="32"/>
        </w:rPr>
      </w:pPr>
      <w:r>
        <w:rPr>
          <w:rFonts w:hint="eastAsia" w:ascii="仿宋_GB2312" w:hAnsi="仿宋" w:eastAsia="仿宋_GB2312" w:cs="宋体"/>
          <w:bCs/>
          <w:kern w:val="0"/>
          <w:sz w:val="32"/>
          <w:szCs w:val="32"/>
        </w:rPr>
        <w:t>1.负责区政协全体会议、常务委员会议、主席会议、专题协商会、协商座谈会及其他重要会议、活动的组织和服务工作。</w:t>
      </w:r>
    </w:p>
    <w:p w14:paraId="6DAE1395">
      <w:pPr>
        <w:widowControl/>
        <w:shd w:val="clear" w:color="auto" w:fill="FFFFFF"/>
        <w:spacing w:line="576" w:lineRule="exact"/>
        <w:ind w:firstLine="640" w:firstLineChars="200"/>
        <w:rPr>
          <w:rFonts w:ascii="仿宋_GB2312" w:hAnsi="仿宋" w:eastAsia="仿宋_GB2312" w:cs="宋体"/>
          <w:bCs/>
          <w:kern w:val="0"/>
          <w:sz w:val="32"/>
          <w:szCs w:val="32"/>
        </w:rPr>
      </w:pPr>
      <w:r>
        <w:rPr>
          <w:rFonts w:hint="eastAsia" w:ascii="仿宋_GB2312" w:hAnsi="仿宋" w:eastAsia="仿宋_GB2312" w:cs="宋体"/>
          <w:bCs/>
          <w:kern w:val="0"/>
          <w:sz w:val="32"/>
          <w:szCs w:val="32"/>
        </w:rPr>
        <w:t>2.负责区政协全体会议、常务委员会议、主席会议的决议和决定的具体组织实施工作。</w:t>
      </w:r>
    </w:p>
    <w:p w14:paraId="40FF5EED">
      <w:pPr>
        <w:widowControl/>
        <w:shd w:val="clear" w:color="auto" w:fill="FFFFFF"/>
        <w:spacing w:line="576" w:lineRule="exact"/>
        <w:ind w:firstLine="640" w:firstLineChars="200"/>
        <w:rPr>
          <w:rFonts w:ascii="仿宋_GB2312" w:hAnsi="仿宋" w:eastAsia="仿宋_GB2312" w:cs="宋体"/>
          <w:bCs/>
          <w:kern w:val="0"/>
          <w:sz w:val="32"/>
          <w:szCs w:val="32"/>
        </w:rPr>
      </w:pPr>
      <w:r>
        <w:rPr>
          <w:rFonts w:hint="eastAsia" w:ascii="仿宋_GB2312" w:hAnsi="仿宋" w:eastAsia="仿宋_GB2312" w:cs="宋体"/>
          <w:bCs/>
          <w:kern w:val="0"/>
          <w:sz w:val="32"/>
          <w:szCs w:val="32"/>
        </w:rPr>
        <w:t>3.研究统一战线和人民政协理论、政策，提出人民政协履行职能工作建议，起草区政协重要文稿，协调和组织人民政协宣传工作。</w:t>
      </w:r>
    </w:p>
    <w:p w14:paraId="22702C33">
      <w:pPr>
        <w:widowControl/>
        <w:shd w:val="clear" w:color="auto" w:fill="FFFFFF"/>
        <w:spacing w:line="576" w:lineRule="exact"/>
        <w:ind w:firstLine="640" w:firstLineChars="200"/>
        <w:rPr>
          <w:rFonts w:ascii="仿宋_GB2312" w:hAnsi="仿宋" w:eastAsia="仿宋_GB2312" w:cs="宋体"/>
          <w:bCs/>
          <w:kern w:val="0"/>
          <w:sz w:val="32"/>
          <w:szCs w:val="32"/>
        </w:rPr>
      </w:pPr>
      <w:r>
        <w:rPr>
          <w:rFonts w:hint="eastAsia" w:ascii="仿宋_GB2312" w:hAnsi="仿宋" w:eastAsia="仿宋_GB2312" w:cs="宋体"/>
          <w:bCs/>
          <w:kern w:val="0"/>
          <w:sz w:val="32"/>
          <w:szCs w:val="32"/>
        </w:rPr>
        <w:t>4.负责协调、保障专门委员会各类专题调研计划和区政协机关各类活动组织、服务工作。负责委员提案办理的协调和服务工作，负责整理、报送政协组织和委员视察调研报告、大会发言、建议案等，收集、反映社情民意，处理政协委员和人民群众的来信来访。</w:t>
      </w:r>
    </w:p>
    <w:p w14:paraId="69D6513D">
      <w:pPr>
        <w:widowControl/>
        <w:shd w:val="clear" w:color="auto" w:fill="FFFFFF"/>
        <w:spacing w:line="576" w:lineRule="exact"/>
        <w:ind w:firstLine="640" w:firstLineChars="200"/>
        <w:rPr>
          <w:rFonts w:ascii="仿宋_GB2312" w:hAnsi="仿宋" w:eastAsia="仿宋_GB2312" w:cs="宋体"/>
          <w:bCs/>
          <w:kern w:val="0"/>
          <w:sz w:val="32"/>
          <w:szCs w:val="32"/>
        </w:rPr>
      </w:pPr>
      <w:r>
        <w:rPr>
          <w:rFonts w:hint="eastAsia" w:ascii="仿宋_GB2312" w:hAnsi="仿宋" w:eastAsia="仿宋_GB2312" w:cs="宋体"/>
          <w:bCs/>
          <w:kern w:val="0"/>
          <w:sz w:val="32"/>
          <w:szCs w:val="32"/>
        </w:rPr>
        <w:t>5.负责</w:t>
      </w:r>
      <w:r>
        <w:rPr>
          <w:rFonts w:hint="eastAsia" w:ascii="仿宋_GB2312" w:hAnsi="仿宋" w:eastAsia="仿宋_GB2312" w:cs="宋体"/>
          <w:bCs/>
          <w:kern w:val="0"/>
          <w:sz w:val="32"/>
          <w:szCs w:val="32"/>
          <w:lang w:eastAsia="zh-CN"/>
        </w:rPr>
        <w:t>与</w:t>
      </w:r>
      <w:r>
        <w:rPr>
          <w:rFonts w:hint="eastAsia" w:ascii="仿宋_GB2312" w:hAnsi="仿宋" w:eastAsia="仿宋_GB2312" w:cs="宋体"/>
          <w:bCs/>
          <w:kern w:val="0"/>
          <w:sz w:val="32"/>
          <w:szCs w:val="32"/>
        </w:rPr>
        <w:t>巴宜区自治区政协委员会、林芝市政协委员和巴宜区政协委员的联系，以及委员参加有关会议、开展视察调研等履职活动的具体组织、服务工作。</w:t>
      </w:r>
    </w:p>
    <w:p w14:paraId="0BC60FAC">
      <w:pPr>
        <w:widowControl/>
        <w:shd w:val="clear" w:color="auto" w:fill="FFFFFF"/>
        <w:spacing w:line="576" w:lineRule="exact"/>
        <w:ind w:firstLine="640" w:firstLineChars="200"/>
        <w:rPr>
          <w:rFonts w:ascii="仿宋_GB2312" w:hAnsi="仿宋" w:eastAsia="仿宋_GB2312" w:cs="宋体"/>
          <w:bCs/>
          <w:kern w:val="0"/>
          <w:sz w:val="32"/>
          <w:szCs w:val="32"/>
        </w:rPr>
      </w:pPr>
      <w:r>
        <w:rPr>
          <w:rFonts w:hint="eastAsia" w:ascii="仿宋_GB2312" w:hAnsi="仿宋" w:eastAsia="仿宋_GB2312" w:cs="宋体"/>
          <w:bCs/>
          <w:kern w:val="0"/>
          <w:sz w:val="32"/>
          <w:szCs w:val="32"/>
        </w:rPr>
        <w:t>6.负责与区委、区人大、区政府等有关部门和林芝市政协办公室、各县（市）政协组织及各乡镇（街道）政协委员联络办公室的对接和联络工作。</w:t>
      </w:r>
    </w:p>
    <w:p w14:paraId="508A2076">
      <w:pPr>
        <w:widowControl/>
        <w:shd w:val="clear" w:color="auto" w:fill="FFFFFF"/>
        <w:spacing w:line="576" w:lineRule="exact"/>
        <w:ind w:firstLine="640" w:firstLineChars="200"/>
        <w:rPr>
          <w:rFonts w:ascii="仿宋_GB2312" w:hAnsi="仿宋" w:eastAsia="仿宋_GB2312" w:cs="宋体"/>
          <w:bCs/>
          <w:kern w:val="0"/>
          <w:sz w:val="32"/>
          <w:szCs w:val="32"/>
        </w:rPr>
      </w:pPr>
      <w:r>
        <w:rPr>
          <w:rFonts w:hint="eastAsia" w:ascii="仿宋_GB2312" w:hAnsi="仿宋" w:eastAsia="仿宋_GB2312" w:cs="宋体"/>
          <w:bCs/>
          <w:kern w:val="0"/>
          <w:sz w:val="32"/>
          <w:szCs w:val="32"/>
        </w:rPr>
        <w:t>7.负责区政协机关干部人事管理工作。指导各乡镇（</w:t>
      </w:r>
      <w:r>
        <w:rPr>
          <w:rFonts w:hint="eastAsia" w:ascii="仿宋_GB2312" w:hAnsi="仿宋" w:eastAsia="仿宋_GB2312" w:cs="宋体"/>
          <w:bCs/>
          <w:kern w:val="0"/>
          <w:sz w:val="32"/>
          <w:szCs w:val="32"/>
          <w:lang w:eastAsia="zh-CN"/>
        </w:rPr>
        <w:t>街道</w:t>
      </w:r>
      <w:r>
        <w:rPr>
          <w:rFonts w:hint="eastAsia" w:ascii="仿宋_GB2312" w:hAnsi="仿宋" w:eastAsia="仿宋_GB2312" w:cs="宋体"/>
          <w:bCs/>
          <w:kern w:val="0"/>
          <w:sz w:val="32"/>
          <w:szCs w:val="32"/>
        </w:rPr>
        <w:t>）政协联络员参加有关培训。服务管理本级政协退离休人员。协助各专委会开展视察、调研、考察、学习、培训</w:t>
      </w:r>
      <w:r>
        <w:rPr>
          <w:rFonts w:hint="eastAsia" w:ascii="仿宋_GB2312" w:hAnsi="仿宋" w:eastAsia="仿宋_GB2312" w:cs="宋体"/>
          <w:bCs/>
          <w:kern w:val="0"/>
          <w:sz w:val="32"/>
          <w:szCs w:val="32"/>
          <w:lang w:eastAsia="zh-CN"/>
        </w:rPr>
        <w:t>等</w:t>
      </w:r>
      <w:r>
        <w:rPr>
          <w:rFonts w:hint="eastAsia" w:ascii="仿宋_GB2312" w:hAnsi="仿宋" w:eastAsia="仿宋_GB2312" w:cs="宋体"/>
          <w:bCs/>
          <w:kern w:val="0"/>
          <w:sz w:val="32"/>
          <w:szCs w:val="32"/>
        </w:rPr>
        <w:t>工作。负责机关电文处理、机要保密、文书档案、经费预算、国有资产使用登记、安全生产监督管理等相关工作。</w:t>
      </w:r>
    </w:p>
    <w:p w14:paraId="701516CB">
      <w:pPr>
        <w:widowControl/>
        <w:shd w:val="clear" w:color="auto" w:fill="FFFFFF"/>
        <w:spacing w:line="576" w:lineRule="exact"/>
        <w:ind w:firstLine="640" w:firstLineChars="200"/>
        <w:rPr>
          <w:rFonts w:ascii="仿宋_GB2312" w:hAnsi="仿宋" w:eastAsia="仿宋_GB2312" w:cs="宋体"/>
          <w:bCs/>
          <w:kern w:val="0"/>
          <w:sz w:val="32"/>
          <w:szCs w:val="32"/>
        </w:rPr>
      </w:pPr>
      <w:r>
        <w:rPr>
          <w:rFonts w:hint="eastAsia" w:ascii="仿宋_GB2312" w:hAnsi="仿宋" w:eastAsia="仿宋_GB2312" w:cs="宋体"/>
          <w:bCs/>
          <w:kern w:val="0"/>
          <w:sz w:val="32"/>
          <w:szCs w:val="32"/>
        </w:rPr>
        <w:t>8.承办主席、副主席交办的其他事项。</w:t>
      </w:r>
    </w:p>
    <w:p w14:paraId="428C9659">
      <w:pPr>
        <w:spacing w:line="576" w:lineRule="exact"/>
        <w:ind w:firstLine="640" w:firstLineChars="200"/>
        <w:rPr>
          <w:rFonts w:ascii="黑体" w:hAnsi="黑体" w:eastAsia="黑体" w:cs="黑体"/>
          <w:sz w:val="32"/>
          <w:szCs w:val="32"/>
        </w:rPr>
      </w:pPr>
      <w:bookmarkStart w:id="14" w:name="_Toc4833_WPSOffice_Level2"/>
      <w:bookmarkStart w:id="15" w:name="_Toc24059_WPSOffice_Level2"/>
      <w:bookmarkStart w:id="16" w:name="_Toc24474_WPSOffice_Level2"/>
      <w:bookmarkStart w:id="17" w:name="_Toc6572_WPSOffice_Level2"/>
      <w:bookmarkStart w:id="18" w:name="_Toc17796_WPSOffice_Level2"/>
      <w:r>
        <w:rPr>
          <w:rFonts w:hint="eastAsia" w:ascii="黑体" w:hAnsi="黑体" w:eastAsia="黑体" w:cs="黑体"/>
          <w:sz w:val="32"/>
          <w:szCs w:val="32"/>
        </w:rPr>
        <w:t>二、机构设置</w:t>
      </w:r>
      <w:bookmarkEnd w:id="14"/>
      <w:bookmarkEnd w:id="15"/>
      <w:bookmarkEnd w:id="16"/>
      <w:bookmarkEnd w:id="17"/>
      <w:bookmarkEnd w:id="18"/>
      <w:bookmarkStart w:id="19" w:name="_Toc30690_WPSOffice_Level1"/>
      <w:bookmarkStart w:id="20" w:name="_Toc15521_WPSOffice_Level1"/>
      <w:bookmarkStart w:id="21" w:name="_Toc28253_WPSOffice_Level1"/>
      <w:bookmarkStart w:id="22" w:name="_Toc6234_WPSOffice_Level1"/>
      <w:bookmarkStart w:id="23" w:name="_Toc8164_WPSOffice_Level1"/>
      <w:bookmarkStart w:id="24" w:name="_Toc30451_WPSOffice_Level1"/>
      <w:bookmarkStart w:id="25" w:name="_Toc8867_WPSOffice_Level2"/>
      <w:bookmarkStart w:id="26" w:name="_Toc4029_WPSOffice_Level2"/>
      <w:bookmarkStart w:id="27" w:name="_Toc32695_WPSOffice_Level2"/>
      <w:bookmarkStart w:id="28" w:name="_Toc11518_WPSOffice_Level2"/>
      <w:bookmarkStart w:id="29" w:name="_Toc32472_WPSOffice_Level2"/>
      <w:bookmarkStart w:id="30" w:name="_Toc6211_WPSOffice_Level2"/>
    </w:p>
    <w:p w14:paraId="1CA07128">
      <w:pPr>
        <w:spacing w:line="576" w:lineRule="exact"/>
        <w:ind w:firstLine="640" w:firstLineChars="200"/>
        <w:rPr>
          <w:rFonts w:ascii="黑体" w:hAnsi="黑体" w:eastAsia="黑体" w:cs="黑体"/>
          <w:sz w:val="32"/>
          <w:szCs w:val="32"/>
        </w:rPr>
      </w:pPr>
      <w:r>
        <w:rPr>
          <w:rFonts w:hint="eastAsia" w:ascii="仿宋_GB2312" w:hAnsi="仿宋" w:eastAsia="仿宋_GB2312" w:cs="宋体"/>
          <w:bCs/>
          <w:kern w:val="0"/>
          <w:sz w:val="32"/>
          <w:szCs w:val="32"/>
        </w:rPr>
        <w:t>区政协设1个正科级办事机构：区政协办公室，设3个专门委员会，即：提案委员会、经济资源环境社会科教文卫委员会、文史民族宗教法制委员会。区政协办公室行政编制7名。科级领导职数3名。3个专门委员会行政编制6名，科级领导职数6名。</w:t>
      </w:r>
    </w:p>
    <w:p w14:paraId="0EF8BF5B">
      <w:pPr>
        <w:spacing w:line="576" w:lineRule="exact"/>
        <w:jc w:val="center"/>
        <w:rPr>
          <w:rFonts w:ascii="黑体" w:hAnsi="黑体" w:eastAsia="黑体" w:cs="黑体"/>
          <w:sz w:val="32"/>
          <w:szCs w:val="32"/>
        </w:rPr>
      </w:pPr>
      <w:r>
        <w:rPr>
          <w:rFonts w:hint="eastAsia" w:ascii="黑体" w:hAnsi="ˎ̥" w:eastAsia="黑体"/>
          <w:sz w:val="32"/>
          <w:szCs w:val="32"/>
        </w:rPr>
        <w:t xml:space="preserve">第二部分  </w:t>
      </w:r>
      <w:r>
        <w:rPr>
          <w:rFonts w:ascii="黑体" w:hAnsi="ˎ̥" w:eastAsia="黑体"/>
          <w:sz w:val="32"/>
          <w:szCs w:val="32"/>
        </w:rPr>
        <w:t>2024</w:t>
      </w:r>
      <w:r>
        <w:rPr>
          <w:rFonts w:hint="eastAsia" w:ascii="黑体" w:hAnsi="ˎ̥" w:eastAsia="黑体"/>
          <w:sz w:val="32"/>
          <w:szCs w:val="32"/>
        </w:rPr>
        <w:t>年度部门决算公开报表</w:t>
      </w:r>
      <w:bookmarkEnd w:id="19"/>
      <w:bookmarkEnd w:id="20"/>
      <w:bookmarkEnd w:id="21"/>
      <w:bookmarkEnd w:id="22"/>
      <w:bookmarkEnd w:id="23"/>
      <w:bookmarkEnd w:id="24"/>
    </w:p>
    <w:p w14:paraId="509A3B16">
      <w:pPr>
        <w:spacing w:line="576" w:lineRule="exact"/>
        <w:ind w:firstLine="645"/>
        <w:rPr>
          <w:rFonts w:ascii="黑体" w:hAnsi="黑体" w:eastAsia="黑体" w:cs="黑体"/>
          <w:sz w:val="32"/>
          <w:szCs w:val="32"/>
        </w:rPr>
      </w:pPr>
      <w:r>
        <w:rPr>
          <w:rFonts w:hint="eastAsia" w:ascii="黑体" w:hAnsi="黑体" w:eastAsia="黑体" w:cs="黑体"/>
          <w:sz w:val="32"/>
          <w:szCs w:val="32"/>
        </w:rPr>
        <w:t>一、收入支出决算公开表</w:t>
      </w:r>
      <w:bookmarkEnd w:id="25"/>
      <w:bookmarkEnd w:id="26"/>
      <w:bookmarkEnd w:id="27"/>
      <w:bookmarkEnd w:id="28"/>
      <w:bookmarkEnd w:id="29"/>
      <w:bookmarkEnd w:id="30"/>
    </w:p>
    <w:p w14:paraId="472EF8B5">
      <w:pPr>
        <w:spacing w:line="576" w:lineRule="exact"/>
        <w:ind w:firstLine="645"/>
        <w:rPr>
          <w:rFonts w:ascii="黑体" w:hAnsi="黑体" w:eastAsia="黑体" w:cs="黑体"/>
          <w:sz w:val="32"/>
          <w:szCs w:val="32"/>
        </w:rPr>
      </w:pPr>
      <w:bookmarkStart w:id="31" w:name="_Toc25608_WPSOffice_Level2"/>
      <w:bookmarkStart w:id="32" w:name="_Toc23139_WPSOffice_Level2"/>
      <w:bookmarkStart w:id="33" w:name="_Toc28622_WPSOffice_Level2"/>
      <w:bookmarkStart w:id="34" w:name="_Toc26621_WPSOffice_Level2"/>
      <w:bookmarkStart w:id="35" w:name="_Toc30334_WPSOffice_Level2"/>
      <w:bookmarkStart w:id="36" w:name="_Toc14349_WPSOffice_Level2"/>
      <w:r>
        <w:rPr>
          <w:rFonts w:hint="eastAsia" w:ascii="黑体" w:hAnsi="黑体" w:eastAsia="黑体" w:cs="黑体"/>
          <w:sz w:val="32"/>
          <w:szCs w:val="32"/>
        </w:rPr>
        <w:t>二、收入决算公开表</w:t>
      </w:r>
      <w:bookmarkEnd w:id="31"/>
      <w:bookmarkEnd w:id="32"/>
      <w:bookmarkEnd w:id="33"/>
      <w:bookmarkEnd w:id="34"/>
      <w:bookmarkEnd w:id="35"/>
      <w:bookmarkEnd w:id="36"/>
      <w:bookmarkStart w:id="37" w:name="_Toc13854_WPSOffice_Level2"/>
      <w:bookmarkStart w:id="38" w:name="_Toc5489_WPSOffice_Level2"/>
      <w:bookmarkStart w:id="39" w:name="_Toc17858_WPSOffice_Level2"/>
      <w:bookmarkStart w:id="40" w:name="_Toc3262_WPSOffice_Level2"/>
      <w:bookmarkStart w:id="41" w:name="_Toc17626_WPSOffice_Level2"/>
      <w:bookmarkStart w:id="42" w:name="_Toc14658_WPSOffice_Level2"/>
    </w:p>
    <w:p w14:paraId="74B539E5">
      <w:pPr>
        <w:spacing w:line="576" w:lineRule="exact"/>
        <w:ind w:firstLine="645"/>
        <w:rPr>
          <w:rFonts w:ascii="黑体" w:hAnsi="黑体" w:eastAsia="黑体" w:cs="黑体"/>
          <w:sz w:val="32"/>
          <w:szCs w:val="32"/>
        </w:rPr>
      </w:pPr>
      <w:r>
        <w:rPr>
          <w:rFonts w:hint="eastAsia" w:ascii="黑体" w:hAnsi="黑体" w:eastAsia="黑体" w:cs="黑体"/>
          <w:sz w:val="32"/>
          <w:szCs w:val="32"/>
        </w:rPr>
        <w:t>三、支出决算公开表</w:t>
      </w:r>
      <w:bookmarkEnd w:id="37"/>
      <w:bookmarkEnd w:id="38"/>
      <w:bookmarkEnd w:id="39"/>
      <w:bookmarkEnd w:id="40"/>
      <w:bookmarkEnd w:id="41"/>
      <w:bookmarkEnd w:id="42"/>
      <w:bookmarkStart w:id="43" w:name="_Toc7988_WPSOffice_Level2"/>
      <w:bookmarkStart w:id="44" w:name="_Toc23493_WPSOffice_Level2"/>
      <w:bookmarkStart w:id="45" w:name="_Toc21415_WPSOffice_Level2"/>
      <w:bookmarkStart w:id="46" w:name="_Toc23591_WPSOffice_Level2"/>
      <w:bookmarkStart w:id="47" w:name="_Toc4265_WPSOffice_Level2"/>
      <w:bookmarkStart w:id="48" w:name="_Toc13701_WPSOffice_Level2"/>
    </w:p>
    <w:p w14:paraId="76A93802">
      <w:pPr>
        <w:spacing w:line="576" w:lineRule="exact"/>
        <w:ind w:firstLine="645"/>
        <w:rPr>
          <w:rFonts w:ascii="黑体" w:hAnsi="黑体" w:eastAsia="黑体" w:cs="黑体"/>
          <w:sz w:val="32"/>
          <w:szCs w:val="32"/>
        </w:rPr>
      </w:pPr>
      <w:r>
        <w:rPr>
          <w:rFonts w:hint="eastAsia" w:ascii="黑体" w:hAnsi="黑体" w:eastAsia="黑体" w:cs="黑体"/>
          <w:sz w:val="32"/>
          <w:szCs w:val="32"/>
        </w:rPr>
        <w:t>四、财政拨款收入支出决算公开表</w:t>
      </w:r>
      <w:bookmarkEnd w:id="43"/>
      <w:bookmarkEnd w:id="44"/>
      <w:bookmarkEnd w:id="45"/>
      <w:bookmarkEnd w:id="46"/>
      <w:bookmarkEnd w:id="47"/>
      <w:bookmarkEnd w:id="48"/>
    </w:p>
    <w:p w14:paraId="5EF25464">
      <w:pPr>
        <w:spacing w:line="576" w:lineRule="exact"/>
        <w:ind w:firstLine="645"/>
        <w:rPr>
          <w:rFonts w:ascii="黑体" w:hAnsi="黑体" w:eastAsia="黑体" w:cs="黑体"/>
          <w:sz w:val="32"/>
          <w:szCs w:val="32"/>
        </w:rPr>
      </w:pPr>
      <w:bookmarkStart w:id="49" w:name="_Toc23829_WPSOffice_Level2"/>
      <w:bookmarkStart w:id="50" w:name="_Toc22783_WPSOffice_Level2"/>
      <w:bookmarkStart w:id="51" w:name="_Toc25166_WPSOffice_Level2"/>
      <w:bookmarkStart w:id="52" w:name="_Toc7879_WPSOffice_Level2"/>
      <w:bookmarkStart w:id="53" w:name="_Toc2158_WPSOffice_Level2"/>
      <w:bookmarkStart w:id="54" w:name="_Toc13516_WPSOffice_Level2"/>
      <w:r>
        <w:rPr>
          <w:rFonts w:hint="eastAsia" w:ascii="黑体" w:hAnsi="黑体" w:eastAsia="黑体" w:cs="黑体"/>
          <w:sz w:val="32"/>
          <w:szCs w:val="32"/>
        </w:rPr>
        <w:t>五、一般公共预算财政拨款收入支出决算</w:t>
      </w:r>
      <w:bookmarkEnd w:id="49"/>
      <w:bookmarkEnd w:id="50"/>
      <w:bookmarkEnd w:id="51"/>
      <w:bookmarkEnd w:id="52"/>
      <w:r>
        <w:rPr>
          <w:rFonts w:hint="eastAsia" w:ascii="黑体" w:hAnsi="黑体" w:eastAsia="黑体" w:cs="黑体"/>
          <w:sz w:val="32"/>
          <w:szCs w:val="32"/>
        </w:rPr>
        <w:t>公开表</w:t>
      </w:r>
      <w:bookmarkEnd w:id="53"/>
      <w:bookmarkEnd w:id="54"/>
      <w:bookmarkStart w:id="55" w:name="_Toc17283_WPSOffice_Level2"/>
      <w:bookmarkStart w:id="56" w:name="_Toc5343_WPSOffice_Level2"/>
      <w:bookmarkStart w:id="57" w:name="_Toc2632_WPSOffice_Level2"/>
      <w:bookmarkStart w:id="58" w:name="_Toc25362_WPSOffice_Level2"/>
      <w:bookmarkStart w:id="59" w:name="_Toc8373_WPSOffice_Level2"/>
      <w:bookmarkStart w:id="60" w:name="_Toc17833_WPSOffice_Level2"/>
    </w:p>
    <w:p w14:paraId="4F64D006">
      <w:pPr>
        <w:spacing w:line="576" w:lineRule="exact"/>
        <w:ind w:firstLine="645"/>
        <w:rPr>
          <w:rFonts w:ascii="黑体" w:hAnsi="黑体" w:eastAsia="黑体" w:cs="黑体"/>
          <w:sz w:val="32"/>
          <w:szCs w:val="32"/>
        </w:rPr>
      </w:pPr>
      <w:r>
        <w:rPr>
          <w:rFonts w:hint="eastAsia" w:ascii="黑体" w:hAnsi="黑体" w:eastAsia="黑体" w:cs="黑体"/>
          <w:sz w:val="32"/>
          <w:szCs w:val="32"/>
        </w:rPr>
        <w:t>六、一般公共预算财政拨款基本支出决算</w:t>
      </w:r>
      <w:bookmarkEnd w:id="55"/>
      <w:bookmarkEnd w:id="56"/>
      <w:bookmarkEnd w:id="57"/>
      <w:bookmarkEnd w:id="58"/>
      <w:bookmarkEnd w:id="59"/>
      <w:bookmarkEnd w:id="60"/>
      <w:r>
        <w:rPr>
          <w:rFonts w:hint="eastAsia" w:ascii="黑体" w:hAnsi="黑体" w:eastAsia="黑体" w:cs="黑体"/>
          <w:sz w:val="32"/>
          <w:szCs w:val="32"/>
        </w:rPr>
        <w:t>公开表</w:t>
      </w:r>
    </w:p>
    <w:p w14:paraId="71CC34E6">
      <w:pPr>
        <w:spacing w:line="576" w:lineRule="exact"/>
        <w:ind w:left="1118" w:leftChars="304" w:hanging="480" w:hangingChars="150"/>
        <w:rPr>
          <w:rFonts w:ascii="黑体" w:hAnsi="黑体" w:eastAsia="黑体" w:cs="黑体"/>
          <w:sz w:val="32"/>
          <w:szCs w:val="32"/>
        </w:rPr>
      </w:pPr>
      <w:bookmarkStart w:id="61" w:name="_Toc5594_WPSOffice_Level2"/>
      <w:bookmarkStart w:id="62" w:name="_Toc6020_WPSOffice_Level2"/>
      <w:bookmarkStart w:id="63" w:name="_Toc11799_WPSOffice_Level2"/>
      <w:bookmarkStart w:id="64" w:name="_Toc1533_WPSOffice_Level2"/>
      <w:bookmarkStart w:id="65" w:name="_Toc21310_WPSOffice_Level2"/>
      <w:bookmarkStart w:id="66" w:name="_Toc13345_WPSOffice_Level2"/>
      <w:r>
        <w:rPr>
          <w:rFonts w:hint="eastAsia" w:ascii="黑体" w:hAnsi="黑体" w:eastAsia="黑体" w:cs="黑体"/>
          <w:sz w:val="32"/>
          <w:szCs w:val="32"/>
        </w:rPr>
        <w:t>七、政府性基金预算财政拨款收入支出决算</w:t>
      </w:r>
      <w:bookmarkEnd w:id="61"/>
      <w:bookmarkEnd w:id="62"/>
      <w:bookmarkEnd w:id="63"/>
      <w:bookmarkEnd w:id="64"/>
      <w:bookmarkEnd w:id="65"/>
      <w:bookmarkEnd w:id="66"/>
      <w:r>
        <w:rPr>
          <w:rFonts w:hint="eastAsia" w:ascii="黑体" w:hAnsi="黑体" w:eastAsia="黑体" w:cs="黑体"/>
          <w:sz w:val="32"/>
          <w:szCs w:val="32"/>
        </w:rPr>
        <w:t>公开表</w:t>
      </w:r>
    </w:p>
    <w:p w14:paraId="786E4F8C">
      <w:pPr>
        <w:spacing w:line="576" w:lineRule="exact"/>
        <w:ind w:left="1118" w:leftChars="304" w:hanging="480" w:hangingChars="150"/>
        <w:rPr>
          <w:rFonts w:ascii="黑体" w:hAnsi="黑体" w:eastAsia="黑体" w:cs="黑体"/>
          <w:sz w:val="32"/>
          <w:szCs w:val="32"/>
        </w:rPr>
      </w:pPr>
      <w:r>
        <w:rPr>
          <w:rFonts w:hint="eastAsia" w:ascii="黑体" w:hAnsi="黑体" w:eastAsia="黑体" w:cs="黑体"/>
          <w:sz w:val="32"/>
          <w:szCs w:val="32"/>
        </w:rPr>
        <w:t>八、国有资本经营预算财政拨款收入支出决算公开表</w:t>
      </w:r>
    </w:p>
    <w:p w14:paraId="034DFC41">
      <w:pPr>
        <w:spacing w:line="576" w:lineRule="exact"/>
        <w:ind w:firstLine="640"/>
        <w:rPr>
          <w:rFonts w:ascii="黑体" w:hAnsi="黑体" w:eastAsia="黑体" w:cs="黑体"/>
          <w:sz w:val="32"/>
          <w:szCs w:val="32"/>
        </w:rPr>
      </w:pPr>
      <w:bookmarkStart w:id="67" w:name="_Toc19961_WPSOffice_Level2"/>
      <w:bookmarkStart w:id="68" w:name="_Toc1820_WPSOffice_Level2"/>
      <w:bookmarkStart w:id="69" w:name="_Toc29886_WPSOffice_Level2"/>
      <w:bookmarkStart w:id="70" w:name="_Toc9377_WPSOffice_Level2"/>
      <w:r>
        <w:rPr>
          <w:rFonts w:hint="eastAsia" w:ascii="黑体" w:hAnsi="黑体" w:eastAsia="黑体" w:cs="黑体"/>
          <w:sz w:val="32"/>
          <w:szCs w:val="32"/>
        </w:rPr>
        <w:t>九、财政拨款“三公”经费支出决算</w:t>
      </w:r>
      <w:bookmarkEnd w:id="67"/>
      <w:bookmarkEnd w:id="68"/>
      <w:bookmarkEnd w:id="69"/>
      <w:bookmarkEnd w:id="70"/>
      <w:r>
        <w:rPr>
          <w:rFonts w:hint="eastAsia" w:ascii="黑体" w:hAnsi="黑体" w:eastAsia="黑体" w:cs="黑体"/>
          <w:sz w:val="32"/>
          <w:szCs w:val="32"/>
        </w:rPr>
        <w:t>公开表</w:t>
      </w:r>
    </w:p>
    <w:p w14:paraId="4D21518B">
      <w:pPr>
        <w:spacing w:line="576" w:lineRule="exact"/>
        <w:ind w:firstLine="640"/>
        <w:rPr>
          <w:rFonts w:ascii="黑体" w:hAnsi="黑体" w:eastAsia="黑体" w:cs="黑体"/>
          <w:sz w:val="32"/>
          <w:szCs w:val="32"/>
        </w:rPr>
      </w:pPr>
      <w:r>
        <w:rPr>
          <w:rFonts w:hint="eastAsia" w:ascii="仿宋" w:hAnsi="仿宋" w:eastAsia="仿宋" w:cs="仿宋"/>
          <w:sz w:val="32"/>
          <w:szCs w:val="32"/>
        </w:rPr>
        <w:t xml:space="preserve">以上报表见附件1。   </w:t>
      </w:r>
    </w:p>
    <w:p w14:paraId="07E78666">
      <w:pPr>
        <w:spacing w:line="576" w:lineRule="exact"/>
        <w:jc w:val="center"/>
        <w:rPr>
          <w:rFonts w:ascii="黑体" w:hAnsi="黑体" w:eastAsia="黑体"/>
          <w:sz w:val="32"/>
          <w:szCs w:val="32"/>
        </w:rPr>
      </w:pPr>
      <w:bookmarkStart w:id="71" w:name="_Toc16686_WPSOffice_Level1"/>
      <w:bookmarkStart w:id="72" w:name="_Toc4402_WPSOffice_Level1"/>
      <w:bookmarkStart w:id="73" w:name="_Toc28629_WPSOffice_Level1"/>
      <w:bookmarkStart w:id="74" w:name="_Toc29683_WPSOffice_Level1"/>
      <w:bookmarkStart w:id="75" w:name="_Toc27590_WPSOffice_Level1"/>
      <w:bookmarkStart w:id="76" w:name="_Toc31264_WPSOffice_Level1"/>
      <w:r>
        <w:rPr>
          <w:rFonts w:hint="eastAsia" w:ascii="黑体" w:hAnsi="黑体" w:eastAsia="黑体"/>
          <w:sz w:val="32"/>
          <w:szCs w:val="32"/>
        </w:rPr>
        <w:t xml:space="preserve">第三部分  </w:t>
      </w:r>
      <w:r>
        <w:rPr>
          <w:rFonts w:ascii="黑体" w:hAnsi="黑体" w:eastAsia="黑体"/>
          <w:sz w:val="32"/>
          <w:szCs w:val="32"/>
        </w:rPr>
        <w:t>2024</w:t>
      </w:r>
      <w:r>
        <w:rPr>
          <w:rFonts w:hint="eastAsia" w:ascii="黑体" w:hAnsi="黑体" w:eastAsia="黑体"/>
          <w:sz w:val="32"/>
          <w:szCs w:val="32"/>
        </w:rPr>
        <w:t>年度部门决算情况说明</w:t>
      </w:r>
      <w:bookmarkEnd w:id="71"/>
      <w:bookmarkEnd w:id="72"/>
      <w:bookmarkEnd w:id="73"/>
      <w:bookmarkEnd w:id="74"/>
      <w:bookmarkEnd w:id="75"/>
      <w:bookmarkEnd w:id="76"/>
    </w:p>
    <w:p w14:paraId="4DCD41B3">
      <w:pPr>
        <w:snapToGrid w:val="0"/>
        <w:spacing w:line="576" w:lineRule="exact"/>
        <w:ind w:left="319" w:leftChars="152" w:firstLine="640" w:firstLineChars="200"/>
        <w:rPr>
          <w:rFonts w:ascii="仿宋_GB2312" w:eastAsia="仿宋_GB2312"/>
          <w:sz w:val="32"/>
          <w:szCs w:val="32"/>
        </w:rPr>
      </w:pPr>
      <w:r>
        <w:rPr>
          <w:rFonts w:hint="eastAsia" w:ascii="黑体" w:hAnsi="黑体" w:eastAsia="黑体"/>
          <w:sz w:val="32"/>
          <w:szCs w:val="32"/>
        </w:rPr>
        <w:t>一、收入支出总体情况说明</w:t>
      </w:r>
      <w:r>
        <w:rPr>
          <w:rFonts w:ascii="仿宋_GB2312" w:eastAsia="仿宋_GB2312"/>
          <w:sz w:val="32"/>
          <w:szCs w:val="32"/>
        </w:rPr>
        <w:br w:type="textWrapping"/>
      </w:r>
      <w:r>
        <w:rPr>
          <w:rFonts w:hint="eastAsia" w:ascii="仿宋_GB2312" w:eastAsia="仿宋_GB2312"/>
          <w:sz w:val="32"/>
          <w:szCs w:val="32"/>
        </w:rPr>
        <w:t xml:space="preserve">    2024年度收入总计727.37万元，支出总计727.37万元，与2023年度相比，</w:t>
      </w:r>
      <w:r>
        <w:rPr>
          <w:rFonts w:hint="eastAsia" w:ascii="仿宋_GB2312" w:hAnsi="ˎ̥" w:eastAsia="仿宋_GB2312"/>
          <w:sz w:val="32"/>
          <w:szCs w:val="32"/>
        </w:rPr>
        <w:t>收入、支出总计各减少14.25万元</w:t>
      </w:r>
      <w:r>
        <w:rPr>
          <w:rFonts w:hint="eastAsia" w:ascii="仿宋_GB2312" w:eastAsia="仿宋_GB2312"/>
          <w:sz w:val="32"/>
          <w:szCs w:val="32"/>
        </w:rPr>
        <w:t>，下降1.95%。主要原因是：人员调整，经费下降。</w:t>
      </w:r>
    </w:p>
    <w:p w14:paraId="15EF44D0">
      <w:pPr>
        <w:spacing w:line="576" w:lineRule="exact"/>
        <w:ind w:firstLine="640" w:firstLineChars="200"/>
        <w:rPr>
          <w:rFonts w:ascii="楷体" w:hAnsi="楷体" w:eastAsia="楷体"/>
          <w:sz w:val="32"/>
          <w:szCs w:val="32"/>
        </w:rPr>
      </w:pPr>
      <w:r>
        <w:rPr>
          <w:rFonts w:hint="eastAsia" w:ascii="楷体" w:hAnsi="楷体" w:eastAsia="楷体"/>
          <w:sz w:val="32"/>
          <w:szCs w:val="32"/>
        </w:rPr>
        <w:t>（一）收入总计主要构成</w:t>
      </w:r>
    </w:p>
    <w:p w14:paraId="04349CAA">
      <w:pPr>
        <w:spacing w:line="576" w:lineRule="exact"/>
        <w:ind w:firstLine="640" w:firstLineChars="200"/>
        <w:rPr>
          <w:rFonts w:ascii="仿宋_GB2312" w:hAnsi="ˎ̥" w:eastAsia="仿宋_GB2312"/>
          <w:sz w:val="32"/>
          <w:szCs w:val="32"/>
        </w:rPr>
      </w:pPr>
      <w:r>
        <w:rPr>
          <w:rFonts w:hint="eastAsia" w:ascii="仿宋_GB2312" w:hAnsi="ˎ̥" w:eastAsia="仿宋_GB2312"/>
          <w:sz w:val="32"/>
          <w:szCs w:val="32"/>
        </w:rPr>
        <w:t>本年</w:t>
      </w:r>
      <w:r>
        <w:rPr>
          <w:rFonts w:ascii="仿宋_GB2312" w:hAnsi="ˎ̥" w:eastAsia="仿宋_GB2312"/>
          <w:sz w:val="32"/>
          <w:szCs w:val="32"/>
        </w:rPr>
        <w:t>收入727.37</w:t>
      </w:r>
      <w:r>
        <w:rPr>
          <w:rFonts w:hint="eastAsia" w:ascii="仿宋_GB2312" w:hAnsi="ˎ̥" w:eastAsia="仿宋_GB2312"/>
          <w:sz w:val="32"/>
          <w:szCs w:val="32"/>
        </w:rPr>
        <w:t>万元。</w:t>
      </w:r>
    </w:p>
    <w:p w14:paraId="38821FF4">
      <w:pPr>
        <w:spacing w:line="576" w:lineRule="exact"/>
        <w:ind w:firstLine="640" w:firstLineChars="200"/>
        <w:rPr>
          <w:rFonts w:ascii="仿宋_GB2312" w:hAnsi="ˎ̥" w:eastAsia="仿宋_GB2312"/>
          <w:sz w:val="32"/>
          <w:szCs w:val="32"/>
        </w:rPr>
      </w:pPr>
      <w:r>
        <w:rPr>
          <w:rFonts w:hint="eastAsia" w:ascii="仿宋_GB2312" w:hAnsi="ˎ̥" w:eastAsia="仿宋_GB2312"/>
          <w:sz w:val="32"/>
          <w:szCs w:val="32"/>
        </w:rPr>
        <w:t>使用非财政拨款结余</w:t>
      </w:r>
      <w:r>
        <w:rPr>
          <w:rFonts w:ascii="仿宋_GB2312" w:hAnsi="ˎ̥" w:eastAsia="仿宋_GB2312"/>
          <w:sz w:val="32"/>
          <w:szCs w:val="32"/>
        </w:rPr>
        <w:t>0.00</w:t>
      </w:r>
      <w:r>
        <w:rPr>
          <w:rFonts w:hint="eastAsia" w:ascii="仿宋_GB2312" w:hAnsi="ˎ̥" w:eastAsia="仿宋_GB2312"/>
          <w:sz w:val="32"/>
          <w:szCs w:val="32"/>
        </w:rPr>
        <w:t>万元。</w:t>
      </w:r>
    </w:p>
    <w:p w14:paraId="32851892">
      <w:pPr>
        <w:spacing w:line="576" w:lineRule="exact"/>
        <w:ind w:firstLine="640" w:firstLineChars="200"/>
        <w:rPr>
          <w:rFonts w:ascii="仿宋_GB2312" w:hAnsi="ˎ̥" w:eastAsia="仿宋_GB2312"/>
          <w:sz w:val="32"/>
          <w:szCs w:val="32"/>
        </w:rPr>
      </w:pPr>
      <w:r>
        <w:rPr>
          <w:rFonts w:hint="eastAsia" w:ascii="仿宋_GB2312" w:hAnsi="ˎ̥" w:eastAsia="仿宋_GB2312"/>
          <w:sz w:val="32"/>
          <w:szCs w:val="32"/>
        </w:rPr>
        <w:t>年初结转结余</w:t>
      </w:r>
      <w:r>
        <w:rPr>
          <w:rFonts w:ascii="仿宋_GB2312" w:hAnsi="ˎ̥" w:eastAsia="仿宋_GB2312"/>
          <w:sz w:val="32"/>
          <w:szCs w:val="32"/>
        </w:rPr>
        <w:t>0.00</w:t>
      </w:r>
      <w:r>
        <w:rPr>
          <w:rFonts w:hint="eastAsia" w:ascii="仿宋_GB2312" w:hAnsi="ˎ̥" w:eastAsia="仿宋_GB2312"/>
          <w:sz w:val="32"/>
          <w:szCs w:val="32"/>
        </w:rPr>
        <w:t>万元。</w:t>
      </w:r>
    </w:p>
    <w:p w14:paraId="4F845B36">
      <w:pPr>
        <w:spacing w:line="576" w:lineRule="exact"/>
        <w:ind w:firstLine="640" w:firstLineChars="200"/>
        <w:rPr>
          <w:rFonts w:ascii="楷体" w:hAnsi="楷体" w:eastAsia="楷体" w:cs="楷体"/>
          <w:sz w:val="32"/>
          <w:szCs w:val="32"/>
        </w:rPr>
      </w:pPr>
      <w:r>
        <w:rPr>
          <w:rFonts w:hint="eastAsia" w:ascii="楷体" w:hAnsi="楷体" w:eastAsia="楷体" w:cs="楷体"/>
          <w:sz w:val="32"/>
          <w:szCs w:val="32"/>
        </w:rPr>
        <w:t>（二</w:t>
      </w:r>
      <w:r>
        <w:rPr>
          <w:rFonts w:ascii="楷体" w:hAnsi="楷体" w:eastAsia="楷体" w:cs="楷体"/>
          <w:sz w:val="32"/>
          <w:szCs w:val="32"/>
        </w:rPr>
        <w:t>）</w:t>
      </w:r>
      <w:r>
        <w:rPr>
          <w:rFonts w:hint="eastAsia" w:ascii="楷体" w:hAnsi="楷体" w:eastAsia="楷体" w:cs="楷体"/>
          <w:sz w:val="32"/>
          <w:szCs w:val="32"/>
        </w:rPr>
        <w:t>支出</w:t>
      </w:r>
      <w:r>
        <w:rPr>
          <w:rFonts w:ascii="楷体" w:hAnsi="楷体" w:eastAsia="楷体" w:cs="楷体"/>
          <w:sz w:val="32"/>
          <w:szCs w:val="32"/>
        </w:rPr>
        <w:t>总计</w:t>
      </w:r>
      <w:r>
        <w:rPr>
          <w:rFonts w:hint="eastAsia" w:ascii="楷体" w:hAnsi="楷体" w:eastAsia="楷体" w:cs="楷体"/>
          <w:sz w:val="32"/>
          <w:szCs w:val="32"/>
        </w:rPr>
        <w:t>主要</w:t>
      </w:r>
      <w:r>
        <w:rPr>
          <w:rFonts w:ascii="楷体" w:hAnsi="楷体" w:eastAsia="楷体" w:cs="楷体"/>
          <w:sz w:val="32"/>
          <w:szCs w:val="32"/>
        </w:rPr>
        <w:t>构成</w:t>
      </w:r>
    </w:p>
    <w:p w14:paraId="48DDB05D">
      <w:pPr>
        <w:spacing w:line="576" w:lineRule="exact"/>
        <w:ind w:firstLine="640" w:firstLineChars="200"/>
        <w:rPr>
          <w:rFonts w:ascii="仿宋_GB2312" w:hAnsi="ˎ̥" w:eastAsia="仿宋_GB2312"/>
          <w:sz w:val="32"/>
          <w:szCs w:val="32"/>
        </w:rPr>
      </w:pPr>
      <w:r>
        <w:rPr>
          <w:rFonts w:hint="eastAsia" w:ascii="仿宋_GB2312" w:hAnsi="ˎ̥" w:eastAsia="仿宋_GB2312"/>
          <w:sz w:val="32"/>
          <w:szCs w:val="32"/>
        </w:rPr>
        <w:t>本年</w:t>
      </w:r>
      <w:r>
        <w:rPr>
          <w:rFonts w:hint="eastAsia" w:ascii="仿宋_GB2312" w:hAnsi="ˎ̥" w:eastAsia="仿宋_GB2312"/>
          <w:sz w:val="32"/>
          <w:szCs w:val="32"/>
          <w:lang w:eastAsia="zh-CN"/>
        </w:rPr>
        <w:t>共</w:t>
      </w:r>
      <w:r>
        <w:rPr>
          <w:rFonts w:hint="eastAsia" w:ascii="仿宋_GB2312" w:hAnsi="ˎ̥" w:eastAsia="仿宋_GB2312"/>
          <w:sz w:val="32"/>
          <w:szCs w:val="32"/>
        </w:rPr>
        <w:t>支出</w:t>
      </w:r>
      <w:r>
        <w:rPr>
          <w:rFonts w:ascii="仿宋_GB2312" w:hAnsi="ˎ̥" w:eastAsia="仿宋_GB2312"/>
          <w:sz w:val="32"/>
          <w:szCs w:val="32"/>
        </w:rPr>
        <w:t>727.37</w:t>
      </w:r>
      <w:r>
        <w:rPr>
          <w:rFonts w:hint="eastAsia" w:ascii="仿宋_GB2312" w:hAnsi="ˎ̥" w:eastAsia="仿宋_GB2312"/>
          <w:sz w:val="32"/>
          <w:szCs w:val="32"/>
        </w:rPr>
        <w:t>万元。</w:t>
      </w:r>
    </w:p>
    <w:p w14:paraId="638E0773">
      <w:pPr>
        <w:spacing w:line="576" w:lineRule="exact"/>
        <w:ind w:firstLine="640" w:firstLineChars="200"/>
        <w:rPr>
          <w:rFonts w:ascii="仿宋_GB2312" w:hAnsi="ˎ̥" w:eastAsia="仿宋_GB2312"/>
          <w:sz w:val="32"/>
          <w:szCs w:val="32"/>
        </w:rPr>
      </w:pPr>
      <w:r>
        <w:rPr>
          <w:rFonts w:hint="eastAsia" w:ascii="仿宋_GB2312" w:hAnsi="ˎ̥" w:eastAsia="仿宋_GB2312"/>
          <w:sz w:val="32"/>
          <w:szCs w:val="32"/>
        </w:rPr>
        <w:t>结余分配</w:t>
      </w:r>
      <w:r>
        <w:rPr>
          <w:rFonts w:ascii="仿宋_GB2312" w:hAnsi="ˎ̥" w:eastAsia="仿宋_GB2312"/>
          <w:sz w:val="32"/>
          <w:szCs w:val="32"/>
        </w:rPr>
        <w:t>0.00</w:t>
      </w:r>
      <w:r>
        <w:rPr>
          <w:rFonts w:hint="eastAsia" w:ascii="仿宋_GB2312" w:hAnsi="ˎ̥" w:eastAsia="仿宋_GB2312"/>
          <w:sz w:val="32"/>
          <w:szCs w:val="32"/>
        </w:rPr>
        <w:t>万元。</w:t>
      </w:r>
    </w:p>
    <w:p w14:paraId="5EA82D70">
      <w:pPr>
        <w:spacing w:line="576" w:lineRule="exact"/>
        <w:ind w:firstLine="640" w:firstLineChars="200"/>
        <w:rPr>
          <w:rFonts w:ascii="仿宋_GB2312" w:hAnsi="ˎ̥" w:eastAsia="仿宋_GB2312"/>
          <w:sz w:val="32"/>
          <w:szCs w:val="32"/>
        </w:rPr>
      </w:pPr>
      <w:r>
        <w:rPr>
          <w:rFonts w:hint="eastAsia" w:ascii="仿宋_GB2312" w:hAnsi="ˎ̥" w:eastAsia="仿宋_GB2312"/>
          <w:sz w:val="32"/>
          <w:szCs w:val="32"/>
        </w:rPr>
        <w:t>年末结转结余</w:t>
      </w:r>
      <w:r>
        <w:rPr>
          <w:rFonts w:ascii="仿宋_GB2312" w:hAnsi="ˎ̥" w:eastAsia="仿宋_GB2312"/>
          <w:sz w:val="32"/>
          <w:szCs w:val="32"/>
        </w:rPr>
        <w:t>0.00</w:t>
      </w:r>
      <w:r>
        <w:rPr>
          <w:rFonts w:hint="eastAsia" w:ascii="仿宋_GB2312" w:hAnsi="ˎ̥" w:eastAsia="仿宋_GB2312"/>
          <w:sz w:val="32"/>
          <w:szCs w:val="32"/>
        </w:rPr>
        <w:t>万元。</w:t>
      </w:r>
    </w:p>
    <w:p w14:paraId="45B46FE7">
      <w:pPr>
        <w:spacing w:line="576" w:lineRule="exact"/>
        <w:ind w:firstLine="640" w:firstLineChars="200"/>
        <w:rPr>
          <w:rFonts w:ascii="仿宋_GB2312" w:hAnsi="ˎ̥" w:eastAsia="仿宋_GB2312"/>
          <w:sz w:val="32"/>
          <w:szCs w:val="32"/>
        </w:rPr>
      </w:pPr>
      <w:r>
        <w:rPr>
          <w:rFonts w:hint="eastAsia" w:ascii="黑体" w:hAnsi="黑体" w:eastAsia="黑体" w:cs="黑体"/>
          <w:bCs/>
          <w:sz w:val="32"/>
          <w:szCs w:val="32"/>
        </w:rPr>
        <w:t>二、收入决算情况说明</w:t>
      </w:r>
      <w:r>
        <w:rPr>
          <w:rFonts w:hint="eastAsia" w:ascii="黑体" w:hAnsi="黑体" w:eastAsia="黑体" w:cs="黑体"/>
          <w:bCs/>
          <w:sz w:val="32"/>
          <w:szCs w:val="32"/>
        </w:rPr>
        <w:br w:type="textWrapping"/>
      </w:r>
      <w:r>
        <w:rPr>
          <w:rFonts w:hint="eastAsia" w:ascii="仿宋_GB2312" w:hAnsi="ˎ̥" w:eastAsia="仿宋_GB2312"/>
          <w:sz w:val="32"/>
          <w:szCs w:val="32"/>
        </w:rPr>
        <w:t xml:space="preserve">    本年收入</w:t>
      </w:r>
      <w:r>
        <w:rPr>
          <w:rFonts w:ascii="仿宋_GB2312" w:hAnsi="ˎ̥" w:eastAsia="仿宋_GB2312"/>
          <w:sz w:val="32"/>
          <w:szCs w:val="32"/>
        </w:rPr>
        <w:t>727.37</w:t>
      </w:r>
      <w:r>
        <w:rPr>
          <w:rFonts w:hint="eastAsia" w:ascii="仿宋_GB2312" w:hAnsi="ˎ̥" w:eastAsia="仿宋_GB2312"/>
          <w:sz w:val="32"/>
          <w:szCs w:val="32"/>
        </w:rPr>
        <w:t>万元，其中：财政拨款收入</w:t>
      </w:r>
      <w:r>
        <w:rPr>
          <w:rFonts w:ascii="仿宋_GB2312" w:hAnsi="ˎ̥" w:eastAsia="仿宋_GB2312"/>
          <w:sz w:val="32"/>
          <w:szCs w:val="32"/>
        </w:rPr>
        <w:t>727.37</w:t>
      </w:r>
      <w:r>
        <w:rPr>
          <w:rFonts w:hint="eastAsia" w:ascii="仿宋_GB2312" w:hAnsi="ˎ̥" w:eastAsia="仿宋_GB2312"/>
          <w:sz w:val="32"/>
          <w:szCs w:val="32"/>
        </w:rPr>
        <w:t>万元，占100%；上级补助收入</w:t>
      </w:r>
      <w:r>
        <w:rPr>
          <w:rFonts w:ascii="仿宋_GB2312" w:hAnsi="ˎ̥" w:eastAsia="仿宋_GB2312"/>
          <w:sz w:val="32"/>
          <w:szCs w:val="32"/>
        </w:rPr>
        <w:t>0.00</w:t>
      </w:r>
      <w:r>
        <w:rPr>
          <w:rFonts w:hint="eastAsia" w:ascii="仿宋_GB2312" w:hAnsi="ˎ̥" w:eastAsia="仿宋_GB2312"/>
          <w:sz w:val="32"/>
          <w:szCs w:val="32"/>
        </w:rPr>
        <w:t>万元，占0%；事业收入</w:t>
      </w:r>
      <w:r>
        <w:rPr>
          <w:rFonts w:ascii="仿宋_GB2312" w:hAnsi="ˎ̥" w:eastAsia="仿宋_GB2312"/>
          <w:sz w:val="32"/>
          <w:szCs w:val="32"/>
        </w:rPr>
        <w:t>0.00</w:t>
      </w:r>
      <w:r>
        <w:rPr>
          <w:rFonts w:hint="eastAsia" w:ascii="仿宋_GB2312" w:hAnsi="ˎ̥" w:eastAsia="仿宋_GB2312"/>
          <w:sz w:val="32"/>
          <w:szCs w:val="32"/>
        </w:rPr>
        <w:t>万元，占0%；经营收入</w:t>
      </w:r>
      <w:r>
        <w:rPr>
          <w:rFonts w:ascii="仿宋_GB2312" w:hAnsi="ˎ̥" w:eastAsia="仿宋_GB2312"/>
          <w:sz w:val="32"/>
          <w:szCs w:val="32"/>
        </w:rPr>
        <w:t>0.00</w:t>
      </w:r>
      <w:r>
        <w:rPr>
          <w:rFonts w:hint="eastAsia" w:ascii="仿宋_GB2312" w:hAnsi="ˎ̥" w:eastAsia="仿宋_GB2312"/>
          <w:sz w:val="32"/>
          <w:szCs w:val="32"/>
        </w:rPr>
        <w:t>万元，占0%；附属单位上缴收入</w:t>
      </w:r>
      <w:r>
        <w:rPr>
          <w:rFonts w:ascii="仿宋_GB2312" w:hAnsi="ˎ̥" w:eastAsia="仿宋_GB2312"/>
          <w:sz w:val="32"/>
          <w:szCs w:val="32"/>
        </w:rPr>
        <w:t>0.00</w:t>
      </w:r>
      <w:r>
        <w:rPr>
          <w:rFonts w:hint="eastAsia" w:ascii="仿宋_GB2312" w:hAnsi="ˎ̥" w:eastAsia="仿宋_GB2312"/>
          <w:sz w:val="32"/>
          <w:szCs w:val="32"/>
        </w:rPr>
        <w:t>万元，占0%；其他收入</w:t>
      </w:r>
      <w:r>
        <w:rPr>
          <w:rFonts w:ascii="仿宋_GB2312" w:hAnsi="ˎ̥" w:eastAsia="仿宋_GB2312"/>
          <w:sz w:val="32"/>
          <w:szCs w:val="32"/>
        </w:rPr>
        <w:t>0.00</w:t>
      </w:r>
      <w:r>
        <w:rPr>
          <w:rFonts w:hint="eastAsia" w:ascii="仿宋_GB2312" w:hAnsi="ˎ̥" w:eastAsia="仿宋_GB2312"/>
          <w:sz w:val="32"/>
          <w:szCs w:val="32"/>
        </w:rPr>
        <w:t>万元，占0%。</w:t>
      </w:r>
    </w:p>
    <w:p w14:paraId="18909AC4">
      <w:pPr>
        <w:spacing w:line="576" w:lineRule="exact"/>
        <w:ind w:firstLine="627" w:firstLineChars="196"/>
        <w:rPr>
          <w:rFonts w:ascii="黑体" w:hAnsi="黑体" w:eastAsia="黑体" w:cs="黑体"/>
          <w:bCs/>
          <w:sz w:val="32"/>
          <w:szCs w:val="32"/>
        </w:rPr>
      </w:pPr>
      <w:r>
        <w:rPr>
          <w:rFonts w:hint="eastAsia" w:ascii="黑体" w:hAnsi="黑体" w:eastAsia="黑体" w:cs="黑体"/>
          <w:bCs/>
          <w:sz w:val="32"/>
          <w:szCs w:val="32"/>
        </w:rPr>
        <w:t>三、支出决算情况说明</w:t>
      </w:r>
    </w:p>
    <w:p w14:paraId="19300DF5">
      <w:pPr>
        <w:spacing w:line="576" w:lineRule="exact"/>
        <w:ind w:firstLine="640" w:firstLineChars="200"/>
        <w:rPr>
          <w:rFonts w:ascii="仿宋_GB2312" w:hAnsi="ˎ̥" w:eastAsia="仿宋_GB2312"/>
          <w:sz w:val="32"/>
          <w:szCs w:val="32"/>
        </w:rPr>
      </w:pPr>
      <w:r>
        <w:rPr>
          <w:rFonts w:hint="eastAsia" w:ascii="仿宋_GB2312" w:hAnsi="ˎ̥" w:eastAsia="仿宋_GB2312"/>
          <w:sz w:val="32"/>
          <w:szCs w:val="32"/>
        </w:rPr>
        <w:t>本年支出</w:t>
      </w:r>
      <w:r>
        <w:rPr>
          <w:rFonts w:ascii="仿宋_GB2312" w:hAnsi="ˎ̥" w:eastAsia="仿宋_GB2312"/>
          <w:sz w:val="32"/>
          <w:szCs w:val="32"/>
        </w:rPr>
        <w:t>727.37</w:t>
      </w:r>
      <w:r>
        <w:rPr>
          <w:rFonts w:hint="eastAsia" w:ascii="仿宋_GB2312" w:hAnsi="ˎ̥" w:eastAsia="仿宋_GB2312"/>
          <w:sz w:val="32"/>
          <w:szCs w:val="32"/>
        </w:rPr>
        <w:t>万元，其中：基本支出</w:t>
      </w:r>
      <w:r>
        <w:rPr>
          <w:rFonts w:ascii="仿宋_GB2312" w:hAnsi="ˎ̥" w:eastAsia="仿宋_GB2312"/>
          <w:sz w:val="32"/>
          <w:szCs w:val="32"/>
        </w:rPr>
        <w:t>660.44</w:t>
      </w:r>
      <w:r>
        <w:rPr>
          <w:rFonts w:hint="eastAsia" w:ascii="仿宋_GB2312" w:hAnsi="ˎ̥" w:eastAsia="仿宋_GB2312"/>
          <w:sz w:val="32"/>
          <w:szCs w:val="32"/>
        </w:rPr>
        <w:t>万元，占90.8%；项目支出</w:t>
      </w:r>
      <w:r>
        <w:rPr>
          <w:rFonts w:ascii="仿宋_GB2312" w:hAnsi="ˎ̥" w:eastAsia="仿宋_GB2312"/>
          <w:sz w:val="32"/>
          <w:szCs w:val="32"/>
        </w:rPr>
        <w:t>66.92</w:t>
      </w:r>
      <w:r>
        <w:rPr>
          <w:rFonts w:hint="eastAsia" w:ascii="仿宋_GB2312" w:hAnsi="ˎ̥" w:eastAsia="仿宋_GB2312"/>
          <w:sz w:val="32"/>
          <w:szCs w:val="32"/>
        </w:rPr>
        <w:t>万元，占9.2%；上缴上级支出</w:t>
      </w:r>
      <w:r>
        <w:rPr>
          <w:rFonts w:ascii="仿宋_GB2312" w:hAnsi="ˎ̥" w:eastAsia="仿宋_GB2312"/>
          <w:sz w:val="32"/>
          <w:szCs w:val="32"/>
        </w:rPr>
        <w:t>0.00</w:t>
      </w:r>
      <w:r>
        <w:rPr>
          <w:rFonts w:hint="eastAsia" w:ascii="仿宋_GB2312" w:hAnsi="ˎ̥" w:eastAsia="仿宋_GB2312"/>
          <w:sz w:val="32"/>
          <w:szCs w:val="32"/>
        </w:rPr>
        <w:t>万元，占0%；经营支出</w:t>
      </w:r>
      <w:r>
        <w:rPr>
          <w:rFonts w:ascii="仿宋_GB2312" w:hAnsi="ˎ̥" w:eastAsia="仿宋_GB2312"/>
          <w:sz w:val="32"/>
          <w:szCs w:val="32"/>
        </w:rPr>
        <w:t>0.00</w:t>
      </w:r>
      <w:r>
        <w:rPr>
          <w:rFonts w:hint="eastAsia" w:ascii="仿宋_GB2312" w:hAnsi="ˎ̥" w:eastAsia="仿宋_GB2312"/>
          <w:sz w:val="32"/>
          <w:szCs w:val="32"/>
        </w:rPr>
        <w:t>万元，占0%；对附属单位补助支出</w:t>
      </w:r>
      <w:r>
        <w:rPr>
          <w:rFonts w:ascii="仿宋_GB2312" w:hAnsi="ˎ̥" w:eastAsia="仿宋_GB2312"/>
          <w:sz w:val="32"/>
          <w:szCs w:val="32"/>
        </w:rPr>
        <w:t>0.00</w:t>
      </w:r>
      <w:r>
        <w:rPr>
          <w:rFonts w:hint="eastAsia" w:ascii="仿宋_GB2312" w:hAnsi="ˎ̥" w:eastAsia="仿宋_GB2312"/>
          <w:sz w:val="32"/>
          <w:szCs w:val="32"/>
        </w:rPr>
        <w:t>万元，占0%。</w:t>
      </w:r>
    </w:p>
    <w:p w14:paraId="3E7591AD">
      <w:pPr>
        <w:spacing w:line="576" w:lineRule="exact"/>
        <w:ind w:firstLine="627" w:firstLineChars="196"/>
        <w:rPr>
          <w:rFonts w:ascii="黑体" w:hAnsi="黑体" w:eastAsia="黑体" w:cs="黑体"/>
          <w:bCs/>
          <w:sz w:val="32"/>
          <w:szCs w:val="32"/>
        </w:rPr>
      </w:pPr>
      <w:r>
        <w:rPr>
          <w:rFonts w:hint="eastAsia" w:ascii="黑体" w:hAnsi="黑体" w:eastAsia="黑体" w:cs="黑体"/>
          <w:bCs/>
          <w:sz w:val="32"/>
          <w:szCs w:val="32"/>
        </w:rPr>
        <w:t>四、财政拨款收入支出决算总体情况说明</w:t>
      </w:r>
    </w:p>
    <w:p w14:paraId="04245869">
      <w:pPr>
        <w:spacing w:line="576" w:lineRule="exact"/>
        <w:ind w:firstLine="640" w:firstLineChars="200"/>
        <w:rPr>
          <w:rFonts w:ascii="仿宋_GB2312" w:hAnsi="仿宋" w:eastAsia="仿宋_GB2312" w:cs="宋体"/>
          <w:kern w:val="0"/>
          <w:sz w:val="32"/>
          <w:szCs w:val="32"/>
        </w:rPr>
      </w:pPr>
      <w:r>
        <w:rPr>
          <w:rFonts w:ascii="仿宋_GB2312" w:hAnsi="ˎ̥" w:eastAsia="仿宋_GB2312"/>
          <w:sz w:val="32"/>
          <w:szCs w:val="32"/>
        </w:rPr>
        <w:t>2024</w:t>
      </w:r>
      <w:r>
        <w:rPr>
          <w:rFonts w:hint="eastAsia" w:ascii="仿宋_GB2312" w:hAnsi="ˎ̥" w:eastAsia="仿宋_GB2312"/>
          <w:sz w:val="32"/>
          <w:szCs w:val="32"/>
        </w:rPr>
        <w:t>年度财政拨款收入</w:t>
      </w:r>
      <w:r>
        <w:rPr>
          <w:rFonts w:ascii="仿宋_GB2312" w:hAnsi="ˎ̥" w:eastAsia="仿宋_GB2312"/>
          <w:sz w:val="32"/>
          <w:szCs w:val="32"/>
        </w:rPr>
        <w:t>727.37</w:t>
      </w:r>
      <w:r>
        <w:rPr>
          <w:rFonts w:hint="eastAsia" w:ascii="仿宋_GB2312" w:hAnsi="ˎ̥" w:eastAsia="仿宋_GB2312"/>
          <w:sz w:val="32"/>
          <w:szCs w:val="32"/>
        </w:rPr>
        <w:t>万元，支出</w:t>
      </w:r>
      <w:r>
        <w:rPr>
          <w:rFonts w:ascii="仿宋_GB2312" w:hAnsi="ˎ̥" w:eastAsia="仿宋_GB2312"/>
          <w:sz w:val="32"/>
          <w:szCs w:val="32"/>
        </w:rPr>
        <w:t>727.37</w:t>
      </w:r>
      <w:r>
        <w:rPr>
          <w:rFonts w:hint="eastAsia" w:ascii="仿宋_GB2312" w:hAnsi="ˎ̥" w:eastAsia="仿宋_GB2312"/>
          <w:sz w:val="32"/>
          <w:szCs w:val="32"/>
        </w:rPr>
        <w:t>万元。与</w:t>
      </w:r>
      <w:r>
        <w:rPr>
          <w:rFonts w:ascii="仿宋_GB2312" w:hAnsi="ˎ̥" w:eastAsia="仿宋_GB2312"/>
          <w:sz w:val="32"/>
          <w:szCs w:val="32"/>
        </w:rPr>
        <w:t>2023</w:t>
      </w:r>
      <w:r>
        <w:rPr>
          <w:rFonts w:hint="eastAsia" w:ascii="仿宋_GB2312" w:hAnsi="ˎ̥" w:eastAsia="仿宋_GB2312"/>
          <w:sz w:val="32"/>
          <w:szCs w:val="32"/>
        </w:rPr>
        <w:t>年度相比，财政拨款收入减少14.25万元，下降1.92%，主要原因：</w:t>
      </w:r>
      <w:r>
        <w:rPr>
          <w:rFonts w:hint="eastAsia" w:ascii="仿宋_GB2312" w:eastAsia="仿宋_GB2312"/>
          <w:sz w:val="32"/>
          <w:szCs w:val="32"/>
        </w:rPr>
        <w:t>人员调整，经费下降。</w:t>
      </w:r>
    </w:p>
    <w:p w14:paraId="7D3FA135">
      <w:pPr>
        <w:spacing w:line="576" w:lineRule="exact"/>
        <w:ind w:firstLine="640" w:firstLineChars="200"/>
        <w:rPr>
          <w:rFonts w:ascii="仿宋_GB2312" w:hAnsi="ˎ̥" w:eastAsia="仿宋_GB2312"/>
          <w:sz w:val="32"/>
          <w:szCs w:val="32"/>
        </w:rPr>
      </w:pPr>
      <w:r>
        <w:rPr>
          <w:rFonts w:hint="eastAsia" w:ascii="仿宋_GB2312" w:hAnsi="ˎ̥" w:eastAsia="仿宋_GB2312"/>
          <w:sz w:val="32"/>
          <w:szCs w:val="32"/>
        </w:rPr>
        <w:t>财政拨款年初结转结余</w:t>
      </w:r>
      <w:r>
        <w:rPr>
          <w:rFonts w:ascii="仿宋_GB2312" w:hAnsi="ˎ̥" w:eastAsia="仿宋_GB2312"/>
          <w:sz w:val="32"/>
          <w:szCs w:val="32"/>
        </w:rPr>
        <w:t>0.00</w:t>
      </w:r>
      <w:r>
        <w:rPr>
          <w:rFonts w:hint="eastAsia" w:ascii="仿宋_GB2312" w:hAnsi="ˎ̥" w:eastAsia="仿宋_GB2312"/>
          <w:sz w:val="32"/>
          <w:szCs w:val="32"/>
        </w:rPr>
        <w:t>万元，较</w:t>
      </w:r>
      <w:r>
        <w:rPr>
          <w:rFonts w:ascii="仿宋_GB2312" w:hAnsi="ˎ̥" w:eastAsia="仿宋_GB2312"/>
          <w:sz w:val="32"/>
          <w:szCs w:val="32"/>
        </w:rPr>
        <w:t>2023</w:t>
      </w:r>
      <w:r>
        <w:rPr>
          <w:rFonts w:hint="eastAsia" w:ascii="仿宋_GB2312" w:hAnsi="ˎ̥" w:eastAsia="仿宋_GB2312"/>
          <w:sz w:val="32"/>
          <w:szCs w:val="32"/>
        </w:rPr>
        <w:t>年度决算数增加（减少）0万元，增长（下降）0%，主要原因是无财政拨款年初结转结余。</w:t>
      </w:r>
    </w:p>
    <w:p w14:paraId="1D613011">
      <w:pPr>
        <w:spacing w:line="576" w:lineRule="exact"/>
        <w:ind w:firstLine="640" w:firstLineChars="200"/>
        <w:rPr>
          <w:rFonts w:ascii="仿宋_GB2312" w:hAnsi="ˎ̥" w:eastAsia="仿宋_GB2312"/>
          <w:sz w:val="32"/>
          <w:szCs w:val="32"/>
        </w:rPr>
      </w:pPr>
      <w:r>
        <w:rPr>
          <w:rFonts w:hint="eastAsia" w:ascii="仿宋_GB2312" w:hAnsi="ˎ̥" w:eastAsia="仿宋_GB2312"/>
          <w:sz w:val="32"/>
          <w:szCs w:val="32"/>
        </w:rPr>
        <w:t>财政拨款年末结转结余</w:t>
      </w:r>
      <w:r>
        <w:rPr>
          <w:rFonts w:ascii="仿宋_GB2312" w:hAnsi="ˎ̥" w:eastAsia="仿宋_GB2312"/>
          <w:sz w:val="32"/>
          <w:szCs w:val="32"/>
        </w:rPr>
        <w:t>0.00</w:t>
      </w:r>
      <w:r>
        <w:rPr>
          <w:rFonts w:hint="eastAsia" w:ascii="仿宋_GB2312" w:hAnsi="ˎ̥" w:eastAsia="仿宋_GB2312"/>
          <w:sz w:val="32"/>
          <w:szCs w:val="32"/>
        </w:rPr>
        <w:t>万元，较</w:t>
      </w:r>
      <w:r>
        <w:rPr>
          <w:rFonts w:ascii="仿宋_GB2312" w:hAnsi="ˎ̥" w:eastAsia="仿宋_GB2312"/>
          <w:sz w:val="32"/>
          <w:szCs w:val="32"/>
        </w:rPr>
        <w:t>2023</w:t>
      </w:r>
      <w:r>
        <w:rPr>
          <w:rFonts w:hint="eastAsia" w:ascii="仿宋_GB2312" w:hAnsi="ˎ̥" w:eastAsia="仿宋_GB2312"/>
          <w:sz w:val="32"/>
          <w:szCs w:val="32"/>
        </w:rPr>
        <w:t>年度决算数增加（减少）0万元，增长（下降）0%，主要原因是无财政拨款年末结转结余。</w:t>
      </w:r>
    </w:p>
    <w:p w14:paraId="3BD01493">
      <w:pPr>
        <w:spacing w:line="576" w:lineRule="exact"/>
        <w:ind w:firstLine="627" w:firstLineChars="196"/>
        <w:rPr>
          <w:rFonts w:ascii="黑体" w:hAnsi="黑体" w:eastAsia="黑体" w:cs="黑体"/>
          <w:bCs/>
          <w:sz w:val="32"/>
          <w:szCs w:val="32"/>
        </w:rPr>
      </w:pPr>
      <w:r>
        <w:rPr>
          <w:rFonts w:hint="eastAsia" w:ascii="黑体" w:hAnsi="黑体" w:eastAsia="黑体" w:cs="黑体"/>
          <w:bCs/>
          <w:sz w:val="32"/>
          <w:szCs w:val="32"/>
        </w:rPr>
        <w:t>五、一般公共预算财政拨款支出决算情况说明</w:t>
      </w:r>
    </w:p>
    <w:p w14:paraId="4AD24D3C">
      <w:pPr>
        <w:spacing w:line="576" w:lineRule="exact"/>
        <w:ind w:firstLine="640" w:firstLineChars="200"/>
        <w:rPr>
          <w:rFonts w:ascii="楷体" w:hAnsi="楷体" w:eastAsia="楷体" w:cs="楷体"/>
          <w:sz w:val="32"/>
          <w:szCs w:val="32"/>
        </w:rPr>
      </w:pPr>
      <w:bookmarkStart w:id="77" w:name="_Toc19665_WPSOffice_Level2"/>
      <w:bookmarkStart w:id="78" w:name="_Toc9989_WPSOffice_Level2"/>
      <w:bookmarkStart w:id="79" w:name="_Toc13694_WPSOffice_Level2"/>
      <w:bookmarkStart w:id="80" w:name="_Toc17398_WPSOffice_Level2"/>
      <w:bookmarkStart w:id="81" w:name="_Toc21737_WPSOffice_Level2"/>
      <w:bookmarkStart w:id="82" w:name="_Toc23005_WPSOffice_Level2"/>
      <w:r>
        <w:rPr>
          <w:rFonts w:hint="eastAsia" w:ascii="楷体" w:hAnsi="楷体" w:eastAsia="楷体" w:cs="楷体"/>
          <w:sz w:val="32"/>
          <w:szCs w:val="32"/>
        </w:rPr>
        <w:t>（一）一般公共预算财政拨款支出决算总体情况</w:t>
      </w:r>
      <w:bookmarkEnd w:id="77"/>
      <w:bookmarkEnd w:id="78"/>
      <w:bookmarkEnd w:id="79"/>
      <w:bookmarkEnd w:id="80"/>
      <w:bookmarkEnd w:id="81"/>
      <w:bookmarkEnd w:id="82"/>
    </w:p>
    <w:p w14:paraId="0648A044">
      <w:pPr>
        <w:spacing w:line="576" w:lineRule="exact"/>
        <w:ind w:firstLine="640" w:firstLineChars="200"/>
        <w:rPr>
          <w:rFonts w:ascii="仿宋_GB2312" w:eastAsia="仿宋_GB2312"/>
          <w:sz w:val="32"/>
          <w:szCs w:val="32"/>
        </w:rPr>
      </w:pPr>
      <w:r>
        <w:rPr>
          <w:rFonts w:ascii="仿宋_GB2312" w:hAnsi="ˎ̥" w:eastAsia="仿宋_GB2312"/>
          <w:sz w:val="32"/>
          <w:szCs w:val="32"/>
        </w:rPr>
        <w:t>2024</w:t>
      </w:r>
      <w:r>
        <w:rPr>
          <w:rFonts w:hint="eastAsia" w:ascii="仿宋_GB2312" w:hAnsi="ˎ̥" w:eastAsia="仿宋_GB2312"/>
          <w:sz w:val="32"/>
          <w:szCs w:val="32"/>
        </w:rPr>
        <w:t>年度一般公共预算财政拨款支出</w:t>
      </w:r>
      <w:r>
        <w:rPr>
          <w:rFonts w:ascii="仿宋_GB2312" w:hAnsi="ˎ̥" w:eastAsia="仿宋_GB2312"/>
          <w:sz w:val="32"/>
          <w:szCs w:val="32"/>
        </w:rPr>
        <w:t>727.37</w:t>
      </w:r>
      <w:r>
        <w:rPr>
          <w:rFonts w:hint="eastAsia" w:ascii="仿宋_GB2312" w:hAnsi="ˎ̥" w:eastAsia="仿宋_GB2312"/>
          <w:sz w:val="32"/>
          <w:szCs w:val="32"/>
        </w:rPr>
        <w:t>万元，占本年支出合计的100%。与</w:t>
      </w:r>
      <w:r>
        <w:rPr>
          <w:rFonts w:ascii="仿宋_GB2312" w:hAnsi="ˎ̥" w:eastAsia="仿宋_GB2312"/>
          <w:sz w:val="32"/>
          <w:szCs w:val="32"/>
        </w:rPr>
        <w:t>2023</w:t>
      </w:r>
      <w:r>
        <w:rPr>
          <w:rFonts w:hint="eastAsia" w:ascii="仿宋_GB2312" w:hAnsi="ˎ̥" w:eastAsia="仿宋_GB2312"/>
          <w:sz w:val="32"/>
          <w:szCs w:val="32"/>
        </w:rPr>
        <w:t>年度相比，一般公共预算财政拨款支出减少14.25万元，下降1.92%，主要原因</w:t>
      </w:r>
      <w:bookmarkStart w:id="83" w:name="_Toc19075_WPSOffice_Level2"/>
      <w:bookmarkStart w:id="84" w:name="_Toc19535_WPSOffice_Level2"/>
      <w:bookmarkStart w:id="85" w:name="_Toc2711_WPSOffice_Level2"/>
      <w:bookmarkStart w:id="86" w:name="_Toc18793_WPSOffice_Level2"/>
      <w:bookmarkStart w:id="87" w:name="_Toc23864_WPSOffice_Level2"/>
      <w:bookmarkStart w:id="88" w:name="_Toc27767_WPSOffice_Level2"/>
      <w:r>
        <w:rPr>
          <w:rFonts w:hint="eastAsia" w:ascii="仿宋_GB2312" w:hAnsi="仿宋" w:eastAsia="仿宋_GB2312" w:cs="宋体"/>
          <w:kern w:val="0"/>
          <w:sz w:val="32"/>
          <w:szCs w:val="32"/>
        </w:rPr>
        <w:t>：</w:t>
      </w:r>
      <w:r>
        <w:rPr>
          <w:rFonts w:hint="eastAsia" w:ascii="仿宋_GB2312" w:eastAsia="仿宋_GB2312"/>
          <w:sz w:val="32"/>
          <w:szCs w:val="32"/>
        </w:rPr>
        <w:t>人员调整，经费下降。</w:t>
      </w:r>
    </w:p>
    <w:p w14:paraId="2B851EB1">
      <w:pPr>
        <w:spacing w:line="576" w:lineRule="exact"/>
        <w:ind w:firstLine="640" w:firstLineChars="200"/>
        <w:rPr>
          <w:rFonts w:ascii="楷体" w:hAnsi="楷体" w:eastAsia="楷体" w:cs="楷体"/>
          <w:sz w:val="32"/>
          <w:szCs w:val="32"/>
        </w:rPr>
      </w:pPr>
      <w:r>
        <w:rPr>
          <w:rFonts w:hint="eastAsia" w:ascii="楷体" w:hAnsi="楷体" w:eastAsia="楷体" w:cs="楷体"/>
          <w:sz w:val="32"/>
          <w:szCs w:val="32"/>
        </w:rPr>
        <w:t>（二）一般公共预算财政拨款支出决算结构情况</w:t>
      </w:r>
      <w:bookmarkEnd w:id="83"/>
      <w:bookmarkEnd w:id="84"/>
      <w:bookmarkEnd w:id="85"/>
      <w:bookmarkEnd w:id="86"/>
      <w:bookmarkEnd w:id="87"/>
      <w:bookmarkEnd w:id="88"/>
    </w:p>
    <w:p w14:paraId="7B833842">
      <w:pPr>
        <w:spacing w:line="576" w:lineRule="exact"/>
        <w:ind w:firstLine="640" w:firstLineChars="200"/>
        <w:rPr>
          <w:rFonts w:ascii="仿宋_GB2312" w:hAnsi="ˎ̥" w:eastAsia="仿宋_GB2312"/>
          <w:sz w:val="32"/>
          <w:szCs w:val="32"/>
        </w:rPr>
      </w:pPr>
      <w:r>
        <w:rPr>
          <w:rFonts w:ascii="仿宋_GB2312" w:hAnsi="ˎ̥" w:eastAsia="仿宋_GB2312"/>
          <w:sz w:val="32"/>
          <w:szCs w:val="32"/>
        </w:rPr>
        <w:t>2024</w:t>
      </w:r>
      <w:r>
        <w:rPr>
          <w:rFonts w:hint="eastAsia" w:ascii="仿宋_GB2312" w:hAnsi="ˎ̥" w:eastAsia="仿宋_GB2312"/>
          <w:sz w:val="32"/>
          <w:szCs w:val="32"/>
        </w:rPr>
        <w:t>年度一般公共预算财政拨款支出</w:t>
      </w:r>
      <w:r>
        <w:rPr>
          <w:rFonts w:ascii="仿宋_GB2312" w:hAnsi="ˎ̥" w:eastAsia="仿宋_GB2312"/>
          <w:sz w:val="32"/>
          <w:szCs w:val="32"/>
        </w:rPr>
        <w:t>727.37</w:t>
      </w:r>
      <w:r>
        <w:rPr>
          <w:rFonts w:hint="eastAsia" w:ascii="仿宋_GB2312" w:hAnsi="ˎ̥" w:eastAsia="仿宋_GB2312"/>
          <w:sz w:val="32"/>
          <w:szCs w:val="32"/>
        </w:rPr>
        <w:t>万元，主要用于以下方面：</w:t>
      </w:r>
      <w:r>
        <w:rPr>
          <w:rFonts w:hint="eastAsia" w:ascii="仿宋_GB2312" w:hAnsi="ˎ̥" w:eastAsia="仿宋_GB2312"/>
          <w:b/>
          <w:sz w:val="32"/>
          <w:szCs w:val="32"/>
        </w:rPr>
        <w:t>一般公共服务（类）</w:t>
      </w:r>
      <w:r>
        <w:rPr>
          <w:rFonts w:hint="eastAsia" w:ascii="仿宋_GB2312" w:hAnsi="ˎ̥" w:eastAsia="仿宋_GB2312"/>
          <w:sz w:val="32"/>
          <w:szCs w:val="32"/>
        </w:rPr>
        <w:t>支出539.20万元，占74.13%；</w:t>
      </w:r>
      <w:r>
        <w:rPr>
          <w:rFonts w:hint="eastAsia" w:ascii="仿宋_GB2312" w:hAnsi="ˎ̥" w:eastAsia="仿宋_GB2312"/>
          <w:b/>
          <w:sz w:val="32"/>
          <w:szCs w:val="32"/>
        </w:rPr>
        <w:t>社会保障和就业（类）</w:t>
      </w:r>
      <w:r>
        <w:rPr>
          <w:rFonts w:hint="eastAsia" w:ascii="仿宋_GB2312" w:hAnsi="ˎ̥" w:eastAsia="仿宋_GB2312"/>
          <w:sz w:val="32"/>
          <w:szCs w:val="32"/>
        </w:rPr>
        <w:t>支出62.89万元，占8.65%；</w:t>
      </w:r>
      <w:r>
        <w:rPr>
          <w:rFonts w:hint="eastAsia" w:ascii="仿宋_GB2312" w:hAnsi="ˎ̥" w:eastAsia="仿宋_GB2312"/>
          <w:b/>
          <w:bCs/>
          <w:sz w:val="32"/>
          <w:szCs w:val="32"/>
        </w:rPr>
        <w:t>卫生健康（类）</w:t>
      </w:r>
      <w:r>
        <w:rPr>
          <w:rFonts w:hint="eastAsia" w:ascii="仿宋_GB2312" w:hAnsi="ˎ̥" w:eastAsia="仿宋_GB2312"/>
          <w:sz w:val="32"/>
          <w:szCs w:val="32"/>
        </w:rPr>
        <w:t>支出49.04万元，占6.74%；</w:t>
      </w:r>
      <w:r>
        <w:rPr>
          <w:rFonts w:hint="eastAsia" w:ascii="仿宋_GB2312" w:hAnsi="ˎ̥" w:eastAsia="仿宋_GB2312"/>
          <w:b/>
          <w:bCs/>
          <w:sz w:val="32"/>
          <w:szCs w:val="32"/>
        </w:rPr>
        <w:t>住房保障（类）</w:t>
      </w:r>
      <w:r>
        <w:rPr>
          <w:rFonts w:hint="eastAsia" w:ascii="仿宋_GB2312" w:hAnsi="ˎ̥" w:eastAsia="仿宋_GB2312"/>
          <w:sz w:val="32"/>
          <w:szCs w:val="32"/>
        </w:rPr>
        <w:t>支出76.24万元，占10.48%。</w:t>
      </w:r>
    </w:p>
    <w:p w14:paraId="198E6598">
      <w:pPr>
        <w:spacing w:line="576" w:lineRule="exact"/>
        <w:ind w:firstLine="640" w:firstLineChars="200"/>
        <w:rPr>
          <w:rFonts w:ascii="楷体" w:hAnsi="楷体" w:eastAsia="楷体" w:cs="楷体"/>
          <w:sz w:val="32"/>
          <w:szCs w:val="32"/>
        </w:rPr>
      </w:pPr>
      <w:bookmarkStart w:id="89" w:name="_Toc29364_WPSOffice_Level2"/>
      <w:bookmarkStart w:id="90" w:name="_Toc9502_WPSOffice_Level2"/>
      <w:bookmarkStart w:id="91" w:name="_Toc22318_WPSOffice_Level2"/>
      <w:bookmarkStart w:id="92" w:name="_Toc15415_WPSOffice_Level2"/>
      <w:bookmarkStart w:id="93" w:name="_Toc21701_WPSOffice_Level2"/>
      <w:bookmarkStart w:id="94" w:name="_Toc25136_WPSOffice_Level2"/>
      <w:r>
        <w:rPr>
          <w:rFonts w:hint="eastAsia" w:ascii="楷体" w:hAnsi="楷体" w:eastAsia="楷体" w:cs="楷体"/>
          <w:sz w:val="32"/>
          <w:szCs w:val="32"/>
        </w:rPr>
        <w:t>（三）一般公共预算财政拨款支出决算具体情况</w:t>
      </w:r>
      <w:bookmarkEnd w:id="89"/>
      <w:bookmarkEnd w:id="90"/>
      <w:bookmarkEnd w:id="91"/>
      <w:bookmarkEnd w:id="92"/>
      <w:bookmarkEnd w:id="93"/>
      <w:bookmarkEnd w:id="94"/>
    </w:p>
    <w:p w14:paraId="432DA42E">
      <w:pPr>
        <w:spacing w:line="576" w:lineRule="exact"/>
        <w:ind w:firstLine="640" w:firstLineChars="200"/>
        <w:rPr>
          <w:rFonts w:ascii="仿宋_GB2312" w:hAnsi="ˎ̥" w:eastAsia="仿宋_GB2312"/>
          <w:sz w:val="32"/>
          <w:szCs w:val="32"/>
        </w:rPr>
      </w:pPr>
      <w:r>
        <w:rPr>
          <w:rFonts w:ascii="仿宋_GB2312" w:hAnsi="ˎ̥" w:eastAsia="仿宋_GB2312"/>
          <w:sz w:val="32"/>
          <w:szCs w:val="32"/>
        </w:rPr>
        <w:t>2024</w:t>
      </w:r>
      <w:r>
        <w:rPr>
          <w:rFonts w:hint="eastAsia" w:ascii="仿宋_GB2312" w:hAnsi="ˎ̥" w:eastAsia="仿宋_GB2312"/>
          <w:sz w:val="32"/>
          <w:szCs w:val="32"/>
        </w:rPr>
        <w:t>年度一般公共预算财政拨款支出年初预算为727.37万元，支出决算为</w:t>
      </w:r>
      <w:r>
        <w:rPr>
          <w:rFonts w:ascii="仿宋_GB2312" w:hAnsi="ˎ̥" w:eastAsia="仿宋_GB2312"/>
          <w:sz w:val="32"/>
          <w:szCs w:val="32"/>
        </w:rPr>
        <w:t>727.37</w:t>
      </w:r>
      <w:r>
        <w:rPr>
          <w:rFonts w:hint="eastAsia" w:ascii="仿宋_GB2312" w:hAnsi="ˎ̥" w:eastAsia="仿宋_GB2312"/>
          <w:sz w:val="32"/>
          <w:szCs w:val="32"/>
        </w:rPr>
        <w:t>万元，完成年初预算的100%。其中：</w:t>
      </w:r>
    </w:p>
    <w:p w14:paraId="71607730">
      <w:pPr>
        <w:spacing w:line="576" w:lineRule="exact"/>
        <w:ind w:firstLine="643" w:firstLineChars="200"/>
        <w:rPr>
          <w:rFonts w:ascii="仿宋_GB2312" w:hAnsi="宋体" w:eastAsia="仿宋_GB2312" w:cs="仿宋_GB2312"/>
          <w:bCs/>
          <w:kern w:val="0"/>
          <w:sz w:val="32"/>
          <w:szCs w:val="32"/>
        </w:rPr>
      </w:pPr>
      <w:r>
        <w:rPr>
          <w:rFonts w:hint="eastAsia" w:ascii="仿宋_GB2312" w:hAnsi="ˎ̥" w:eastAsia="仿宋_GB2312"/>
          <w:b/>
          <w:bCs/>
          <w:sz w:val="32"/>
          <w:szCs w:val="32"/>
        </w:rPr>
        <w:t>1.一般公共服务（类）政协事务（款）行政运行（项）。</w:t>
      </w:r>
      <w:r>
        <w:rPr>
          <w:rFonts w:hint="eastAsia" w:ascii="仿宋_GB2312" w:hAnsi="ˎ̥" w:eastAsia="仿宋_GB2312"/>
          <w:bCs/>
          <w:sz w:val="32"/>
          <w:szCs w:val="32"/>
        </w:rPr>
        <w:t>年初预算为546.97万元，支出决算为505.29万元，完成年初预算的92.38%。</w:t>
      </w:r>
      <w:r>
        <w:rPr>
          <w:rFonts w:hint="eastAsia" w:ascii="仿宋_GB2312" w:hAnsi="ˎ̥" w:eastAsia="仿宋_GB2312"/>
          <w:sz w:val="32"/>
          <w:szCs w:val="32"/>
        </w:rPr>
        <w:t>决算数小于预算数的主要原因：部分履职相关支出依规从政协事务对应的其他明细科目列支，未占用行政运行项的预算额度，年终预算调整。</w:t>
      </w:r>
    </w:p>
    <w:p w14:paraId="4F2B823D">
      <w:pPr>
        <w:spacing w:line="576" w:lineRule="exact"/>
        <w:ind w:firstLine="643" w:firstLineChars="200"/>
        <w:rPr>
          <w:rFonts w:ascii="仿宋_GB2312" w:hAnsi="宋体" w:eastAsia="仿宋_GB2312" w:cs="仿宋_GB2312"/>
          <w:kern w:val="0"/>
          <w:sz w:val="32"/>
          <w:szCs w:val="32"/>
        </w:rPr>
      </w:pPr>
      <w:r>
        <w:rPr>
          <w:rFonts w:hint="eastAsia" w:ascii="仿宋_GB2312" w:hAnsi="ˎ̥" w:eastAsia="仿宋_GB2312"/>
          <w:b/>
          <w:bCs/>
          <w:sz w:val="32"/>
          <w:szCs w:val="32"/>
        </w:rPr>
        <w:t>2.一般公共服务（类）政协事务（款）政协会议（项）。</w:t>
      </w:r>
      <w:r>
        <w:rPr>
          <w:rFonts w:hint="eastAsia" w:ascii="仿宋_GB2312" w:hAnsi="ˎ̥" w:eastAsia="仿宋_GB2312"/>
          <w:bCs/>
          <w:sz w:val="32"/>
          <w:szCs w:val="32"/>
        </w:rPr>
        <w:t>年初预算为0万元，支出决算为6.25万元，完成年初预算</w:t>
      </w:r>
      <w:r>
        <w:rPr>
          <w:rFonts w:hint="eastAsia" w:ascii="仿宋_GB2312" w:hAnsi="ˎ̥" w:eastAsia="仿宋_GB2312"/>
          <w:sz w:val="32"/>
          <w:szCs w:val="32"/>
        </w:rPr>
        <w:t>的100%。决算数大于预算数的主要原因：年终预算调整</w:t>
      </w:r>
      <w:r>
        <w:rPr>
          <w:rFonts w:hint="eastAsia" w:ascii="仿宋_GB2312" w:hAnsi="宋体" w:eastAsia="仿宋_GB2312" w:cs="仿宋_GB2312"/>
          <w:kern w:val="0"/>
          <w:sz w:val="32"/>
          <w:szCs w:val="32"/>
        </w:rPr>
        <w:t>。</w:t>
      </w:r>
    </w:p>
    <w:p w14:paraId="79EE74C9">
      <w:pPr>
        <w:spacing w:line="576" w:lineRule="exact"/>
        <w:ind w:firstLine="643" w:firstLineChars="200"/>
        <w:rPr>
          <w:rFonts w:ascii="仿宋_GB2312" w:hAnsi="宋体" w:eastAsia="仿宋_GB2312" w:cs="仿宋_GB2312"/>
          <w:kern w:val="0"/>
          <w:sz w:val="32"/>
          <w:szCs w:val="32"/>
        </w:rPr>
      </w:pPr>
      <w:r>
        <w:rPr>
          <w:rFonts w:hint="eastAsia" w:ascii="仿宋_GB2312" w:hAnsi="ˎ̥" w:eastAsia="仿宋_GB2312"/>
          <w:b/>
          <w:bCs/>
          <w:sz w:val="32"/>
          <w:szCs w:val="32"/>
        </w:rPr>
        <w:t>3.一般公共服务（类）政协事务（款）委员视察（项）。</w:t>
      </w:r>
      <w:r>
        <w:rPr>
          <w:rFonts w:hint="eastAsia" w:ascii="仿宋_GB2312" w:hAnsi="ˎ̥" w:eastAsia="仿宋_GB2312"/>
          <w:bCs/>
          <w:sz w:val="32"/>
          <w:szCs w:val="32"/>
        </w:rPr>
        <w:t>年初预算为0万元，支出决算为12.67万元，完成年初预算</w:t>
      </w:r>
      <w:r>
        <w:rPr>
          <w:rFonts w:hint="eastAsia" w:ascii="仿宋_GB2312" w:hAnsi="ˎ̥" w:eastAsia="仿宋_GB2312"/>
          <w:sz w:val="32"/>
          <w:szCs w:val="32"/>
        </w:rPr>
        <w:t>的100%。决算数大于预算数的主要原因：年终预算调整</w:t>
      </w:r>
      <w:r>
        <w:rPr>
          <w:rFonts w:hint="eastAsia" w:ascii="仿宋_GB2312" w:hAnsi="宋体" w:eastAsia="仿宋_GB2312" w:cs="仿宋_GB2312"/>
          <w:kern w:val="0"/>
          <w:sz w:val="32"/>
          <w:szCs w:val="32"/>
        </w:rPr>
        <w:t>。</w:t>
      </w:r>
    </w:p>
    <w:p w14:paraId="561A281E">
      <w:pPr>
        <w:spacing w:line="576" w:lineRule="exact"/>
        <w:ind w:firstLine="643" w:firstLineChars="200"/>
        <w:rPr>
          <w:rFonts w:ascii="仿宋_GB2312" w:hAnsi="宋体" w:eastAsia="仿宋_GB2312" w:cs="仿宋_GB2312"/>
          <w:kern w:val="0"/>
          <w:sz w:val="32"/>
          <w:szCs w:val="32"/>
        </w:rPr>
      </w:pPr>
      <w:r>
        <w:rPr>
          <w:rFonts w:hint="eastAsia" w:ascii="仿宋_GB2312" w:hAnsi="ˎ̥" w:eastAsia="仿宋_GB2312"/>
          <w:b/>
          <w:bCs/>
          <w:sz w:val="32"/>
          <w:szCs w:val="32"/>
        </w:rPr>
        <w:t>4.一般公共服务（类）政协事务（款）参政议政（项）。</w:t>
      </w:r>
      <w:r>
        <w:rPr>
          <w:rFonts w:hint="eastAsia" w:ascii="仿宋_GB2312" w:hAnsi="ˎ̥" w:eastAsia="仿宋_GB2312"/>
          <w:bCs/>
          <w:sz w:val="32"/>
          <w:szCs w:val="32"/>
        </w:rPr>
        <w:t>年初预算为0万元，支出决算为3.96万元，完成年初预算</w:t>
      </w:r>
      <w:r>
        <w:rPr>
          <w:rFonts w:hint="eastAsia" w:ascii="仿宋_GB2312" w:hAnsi="ˎ̥" w:eastAsia="仿宋_GB2312"/>
          <w:sz w:val="32"/>
          <w:szCs w:val="32"/>
        </w:rPr>
        <w:t>的100%。决算数大于预算数的主要原因：年终预算调整</w:t>
      </w:r>
      <w:r>
        <w:rPr>
          <w:rFonts w:hint="eastAsia" w:ascii="仿宋_GB2312" w:hAnsi="宋体" w:eastAsia="仿宋_GB2312" w:cs="仿宋_GB2312"/>
          <w:kern w:val="0"/>
          <w:sz w:val="32"/>
          <w:szCs w:val="32"/>
        </w:rPr>
        <w:t>。</w:t>
      </w:r>
    </w:p>
    <w:p w14:paraId="07B7AC93">
      <w:pPr>
        <w:spacing w:line="576" w:lineRule="exact"/>
        <w:ind w:firstLine="643" w:firstLineChars="200"/>
        <w:rPr>
          <w:rFonts w:ascii="仿宋_GB2312" w:hAnsi="宋体" w:eastAsia="仿宋_GB2312" w:cs="仿宋_GB2312"/>
          <w:kern w:val="0"/>
          <w:sz w:val="32"/>
          <w:szCs w:val="32"/>
        </w:rPr>
      </w:pPr>
      <w:r>
        <w:rPr>
          <w:rFonts w:hint="eastAsia" w:ascii="仿宋_GB2312" w:hAnsi="ˎ̥" w:eastAsia="仿宋_GB2312"/>
          <w:b/>
          <w:bCs/>
          <w:sz w:val="32"/>
          <w:szCs w:val="32"/>
          <w:lang w:val="en-US" w:eastAsia="zh-CN"/>
        </w:rPr>
        <w:t>5</w:t>
      </w:r>
      <w:r>
        <w:rPr>
          <w:rFonts w:hint="eastAsia" w:ascii="仿宋_GB2312" w:hAnsi="ˎ̥" w:eastAsia="仿宋_GB2312"/>
          <w:b/>
          <w:bCs/>
          <w:sz w:val="32"/>
          <w:szCs w:val="32"/>
        </w:rPr>
        <w:t>.一般公共服务（类）群众团体事务（款）工会事务（项）。</w:t>
      </w:r>
      <w:r>
        <w:rPr>
          <w:rFonts w:hint="eastAsia" w:ascii="仿宋_GB2312" w:hAnsi="ˎ̥" w:eastAsia="仿宋_GB2312"/>
          <w:bCs/>
          <w:sz w:val="32"/>
          <w:szCs w:val="32"/>
        </w:rPr>
        <w:t>年初预算为11.03万元，支出决算为11.03万元，完成年初预算</w:t>
      </w:r>
      <w:r>
        <w:rPr>
          <w:rFonts w:hint="eastAsia" w:ascii="仿宋_GB2312" w:hAnsi="ˎ̥" w:eastAsia="仿宋_GB2312"/>
          <w:sz w:val="32"/>
          <w:szCs w:val="32"/>
        </w:rPr>
        <w:t>的100%。</w:t>
      </w:r>
    </w:p>
    <w:p w14:paraId="101A24D6">
      <w:pPr>
        <w:spacing w:line="576" w:lineRule="exact"/>
        <w:ind w:firstLine="643" w:firstLineChars="200"/>
        <w:rPr>
          <w:rFonts w:ascii="仿宋_GB2312" w:hAnsi="ˎ̥" w:eastAsia="仿宋_GB2312"/>
          <w:sz w:val="32"/>
          <w:szCs w:val="32"/>
        </w:rPr>
      </w:pPr>
      <w:r>
        <w:rPr>
          <w:rFonts w:hint="eastAsia" w:ascii="仿宋_GB2312" w:hAnsi="宋体" w:eastAsia="仿宋_GB2312" w:cs="仿宋_GB2312"/>
          <w:b/>
          <w:bCs/>
          <w:kern w:val="0"/>
          <w:sz w:val="32"/>
          <w:szCs w:val="32"/>
          <w:lang w:val="en-US" w:eastAsia="zh-CN"/>
        </w:rPr>
        <w:t>6</w:t>
      </w:r>
      <w:r>
        <w:rPr>
          <w:rFonts w:hint="eastAsia" w:ascii="仿宋_GB2312" w:hAnsi="宋体" w:eastAsia="仿宋_GB2312" w:cs="仿宋_GB2312"/>
          <w:b/>
          <w:bCs/>
          <w:kern w:val="0"/>
          <w:sz w:val="32"/>
          <w:szCs w:val="32"/>
        </w:rPr>
        <w:t>.</w:t>
      </w:r>
      <w:r>
        <w:rPr>
          <w:rFonts w:hint="eastAsia" w:ascii="仿宋_GB2312" w:hAnsi="ˎ̥" w:eastAsia="仿宋_GB2312"/>
          <w:b/>
          <w:bCs/>
          <w:sz w:val="32"/>
          <w:szCs w:val="32"/>
        </w:rPr>
        <w:t>社会保障和就业支出（类）行政事业单位养老支出（款）机关事业单位基本养老保险缴费支出（项）。</w:t>
      </w:r>
      <w:r>
        <w:rPr>
          <w:rFonts w:hint="eastAsia" w:ascii="仿宋_GB2312" w:hAnsi="ˎ̥" w:eastAsia="仿宋_GB2312"/>
          <w:bCs/>
          <w:sz w:val="32"/>
          <w:szCs w:val="32"/>
        </w:rPr>
        <w:t>年初预算为63.16万元，支出决算为62.89万元，完成年初预算的100%。</w:t>
      </w:r>
      <w:r>
        <w:rPr>
          <w:rFonts w:hint="eastAsia" w:ascii="仿宋_GB2312" w:hAnsi="ˎ̥" w:eastAsia="仿宋_GB2312"/>
          <w:sz w:val="32"/>
          <w:szCs w:val="32"/>
        </w:rPr>
        <w:t>决算数小于预算数的主要原因：人员调整。</w:t>
      </w:r>
    </w:p>
    <w:p w14:paraId="5B788BD4">
      <w:pPr>
        <w:spacing w:line="576" w:lineRule="exact"/>
        <w:ind w:firstLine="482" w:firstLineChars="150"/>
        <w:rPr>
          <w:rFonts w:hint="eastAsia" w:ascii="仿宋_GB2312" w:hAnsi="ˎ̥" w:eastAsia="仿宋_GB2312"/>
          <w:sz w:val="32"/>
          <w:szCs w:val="32"/>
          <w:lang w:eastAsia="zh-CN"/>
        </w:rPr>
      </w:pPr>
      <w:r>
        <w:rPr>
          <w:rFonts w:hint="eastAsia" w:ascii="仿宋_GB2312" w:hAnsi="ˎ̥" w:eastAsia="仿宋_GB2312"/>
          <w:b/>
          <w:sz w:val="32"/>
          <w:szCs w:val="32"/>
          <w:lang w:val="en-US" w:eastAsia="zh-CN"/>
        </w:rPr>
        <w:t>7</w:t>
      </w:r>
      <w:r>
        <w:rPr>
          <w:rFonts w:hint="eastAsia" w:ascii="仿宋_GB2312" w:hAnsi="ˎ̥" w:eastAsia="仿宋_GB2312"/>
          <w:b/>
          <w:sz w:val="32"/>
          <w:szCs w:val="32"/>
        </w:rPr>
        <w:t>.</w:t>
      </w:r>
      <w:r>
        <w:rPr>
          <w:rFonts w:hint="eastAsia" w:ascii="仿宋_GB2312" w:hAnsi="ˎ̥" w:eastAsia="仿宋_GB2312"/>
          <w:b/>
          <w:bCs/>
          <w:sz w:val="32"/>
          <w:szCs w:val="32"/>
        </w:rPr>
        <w:t>卫生健康支出（类）行政事业单位医疗（款）行政单位医疗补助（项）。</w:t>
      </w:r>
      <w:r>
        <w:rPr>
          <w:rFonts w:hint="eastAsia" w:ascii="仿宋_GB2312" w:hAnsi="ˎ̥" w:eastAsia="仿宋_GB2312"/>
          <w:sz w:val="32"/>
          <w:szCs w:val="32"/>
        </w:rPr>
        <w:t>年初预算为33.92万元，支出决算为33.92万元，完成年初预算的100%</w:t>
      </w:r>
      <w:r>
        <w:rPr>
          <w:rFonts w:hint="eastAsia" w:ascii="仿宋_GB2312" w:hAnsi="ˎ̥" w:eastAsia="仿宋_GB2312"/>
          <w:sz w:val="32"/>
          <w:szCs w:val="32"/>
          <w:lang w:eastAsia="zh-CN"/>
        </w:rPr>
        <w:t>；</w:t>
      </w:r>
    </w:p>
    <w:p w14:paraId="36BF2320">
      <w:pPr>
        <w:spacing w:line="576" w:lineRule="exact"/>
        <w:ind w:firstLine="643" w:firstLineChars="200"/>
        <w:rPr>
          <w:rFonts w:hint="eastAsia" w:ascii="仿宋_GB2312" w:hAnsi="ˎ̥" w:eastAsia="仿宋_GB2312"/>
          <w:sz w:val="32"/>
          <w:szCs w:val="32"/>
          <w:lang w:eastAsia="zh-CN"/>
        </w:rPr>
      </w:pPr>
      <w:r>
        <w:rPr>
          <w:rFonts w:hint="eastAsia" w:ascii="仿宋_GB2312" w:hAnsi="ˎ̥" w:eastAsia="仿宋_GB2312"/>
          <w:b/>
          <w:bCs/>
          <w:sz w:val="32"/>
          <w:szCs w:val="32"/>
          <w:lang w:val="en-US" w:eastAsia="zh-CN"/>
        </w:rPr>
        <w:t>8</w:t>
      </w:r>
      <w:r>
        <w:rPr>
          <w:rFonts w:hint="eastAsia" w:ascii="仿宋_GB2312" w:hAnsi="ˎ̥" w:eastAsia="仿宋_GB2312"/>
          <w:b/>
          <w:bCs/>
          <w:sz w:val="32"/>
          <w:szCs w:val="32"/>
        </w:rPr>
        <w:t>.卫生健康支出（类）行政事业单位医疗（款）公务员医疗补助（项）。</w:t>
      </w:r>
      <w:r>
        <w:rPr>
          <w:rFonts w:hint="eastAsia" w:ascii="仿宋_GB2312" w:hAnsi="ˎ̥" w:eastAsia="仿宋_GB2312"/>
          <w:sz w:val="32"/>
          <w:szCs w:val="32"/>
        </w:rPr>
        <w:t>年初预算为11.7万元，支出决算为11.7万元，完成年初预算的100%</w:t>
      </w:r>
      <w:r>
        <w:rPr>
          <w:rFonts w:hint="eastAsia" w:ascii="仿宋_GB2312" w:hAnsi="ˎ̥" w:eastAsia="仿宋_GB2312"/>
          <w:sz w:val="32"/>
          <w:szCs w:val="32"/>
          <w:lang w:eastAsia="zh-CN"/>
        </w:rPr>
        <w:t>；</w:t>
      </w:r>
    </w:p>
    <w:p w14:paraId="0970D214">
      <w:pPr>
        <w:spacing w:line="576" w:lineRule="exact"/>
        <w:ind w:firstLine="643" w:firstLineChars="200"/>
        <w:rPr>
          <w:rFonts w:ascii="仿宋_GB2312" w:hAnsi="ˎ̥" w:eastAsia="仿宋_GB2312"/>
          <w:sz w:val="32"/>
          <w:szCs w:val="32"/>
        </w:rPr>
      </w:pPr>
      <w:r>
        <w:rPr>
          <w:rFonts w:hint="eastAsia" w:ascii="仿宋_GB2312" w:hAnsi="ˎ̥" w:eastAsia="仿宋_GB2312"/>
          <w:b/>
          <w:bCs/>
          <w:sz w:val="32"/>
          <w:szCs w:val="32"/>
          <w:lang w:val="en-US" w:eastAsia="zh-CN"/>
        </w:rPr>
        <w:t>9</w:t>
      </w:r>
      <w:r>
        <w:rPr>
          <w:rFonts w:hint="eastAsia" w:ascii="仿宋_GB2312" w:hAnsi="ˎ̥" w:eastAsia="仿宋_GB2312"/>
          <w:b/>
          <w:bCs/>
          <w:sz w:val="32"/>
          <w:szCs w:val="32"/>
        </w:rPr>
        <w:t>.卫生健康支出（类）行政事业单位医疗（款）其他行政事业单位医疗支出（项）。</w:t>
      </w:r>
      <w:r>
        <w:rPr>
          <w:rFonts w:hint="eastAsia" w:ascii="仿宋_GB2312" w:hAnsi="ˎ̥" w:eastAsia="仿宋_GB2312"/>
          <w:sz w:val="32"/>
          <w:szCs w:val="32"/>
        </w:rPr>
        <w:t>年初预算为0万元，支出决算为3.42万元，完成年初预算的100%。决算数大于预算数的主要原因：年终预算调整体检费。</w:t>
      </w:r>
    </w:p>
    <w:p w14:paraId="0ACFC2D1">
      <w:pPr>
        <w:spacing w:line="576" w:lineRule="exact"/>
        <w:ind w:firstLine="643" w:firstLineChars="200"/>
        <w:rPr>
          <w:rFonts w:ascii="仿宋_GB2312" w:hAnsi="ˎ̥" w:eastAsia="仿宋_GB2312"/>
          <w:sz w:val="32"/>
          <w:szCs w:val="32"/>
        </w:rPr>
      </w:pPr>
      <w:r>
        <w:rPr>
          <w:rFonts w:hint="eastAsia" w:ascii="仿宋_GB2312" w:hAnsi="ˎ̥" w:eastAsia="仿宋_GB2312"/>
          <w:b/>
          <w:sz w:val="32"/>
          <w:szCs w:val="32"/>
          <w:lang w:val="en-US" w:eastAsia="zh-CN"/>
        </w:rPr>
        <w:t>10</w:t>
      </w:r>
      <w:r>
        <w:rPr>
          <w:rFonts w:hint="eastAsia" w:ascii="仿宋_GB2312" w:hAnsi="ˎ̥" w:eastAsia="仿宋_GB2312"/>
          <w:b/>
          <w:sz w:val="32"/>
          <w:szCs w:val="32"/>
        </w:rPr>
        <w:t>.</w:t>
      </w:r>
      <w:r>
        <w:rPr>
          <w:rFonts w:hint="eastAsia" w:ascii="仿宋_GB2312" w:hAnsi="宋体" w:eastAsia="仿宋_GB2312" w:cs="仿宋_GB2312"/>
          <w:b/>
          <w:kern w:val="0"/>
          <w:sz w:val="32"/>
          <w:szCs w:val="32"/>
        </w:rPr>
        <w:t>住房保障支出（类）住房改革支出（款）住房公积金（项）。年初预算为：49.74万元，</w:t>
      </w:r>
      <w:r>
        <w:rPr>
          <w:rFonts w:hint="eastAsia" w:ascii="仿宋_GB2312" w:hAnsi="宋体" w:eastAsia="仿宋_GB2312" w:cs="仿宋_GB2312"/>
          <w:kern w:val="0"/>
          <w:sz w:val="32"/>
          <w:szCs w:val="32"/>
        </w:rPr>
        <w:t>支出决算数为51.26万元，完成年初预算的103.05%</w:t>
      </w:r>
      <w:r>
        <w:rPr>
          <w:rFonts w:hint="eastAsia" w:ascii="仿宋_GB2312" w:hAnsi="宋体" w:eastAsia="仿宋_GB2312" w:cs="仿宋_GB2312"/>
          <w:kern w:val="0"/>
          <w:sz w:val="32"/>
          <w:szCs w:val="32"/>
          <w:lang w:eastAsia="zh-CN"/>
        </w:rPr>
        <w:t>，</w:t>
      </w:r>
      <w:r>
        <w:rPr>
          <w:rFonts w:hint="eastAsia" w:ascii="仿宋_GB2312" w:hAnsi="ˎ̥" w:eastAsia="仿宋_GB2312"/>
          <w:sz w:val="32"/>
          <w:szCs w:val="32"/>
        </w:rPr>
        <w:t>决算数大于预算数的主要原因：年终预算调整下达资金缺口</w:t>
      </w:r>
      <w:r>
        <w:rPr>
          <w:rFonts w:hint="eastAsia" w:ascii="仿宋_GB2312" w:hAnsi="宋体" w:eastAsia="仿宋_GB2312" w:cs="仿宋_GB2312"/>
          <w:kern w:val="0"/>
          <w:sz w:val="32"/>
          <w:szCs w:val="32"/>
        </w:rPr>
        <w:t>；</w:t>
      </w:r>
    </w:p>
    <w:p w14:paraId="26037685">
      <w:pPr>
        <w:spacing w:line="576" w:lineRule="exact"/>
        <w:ind w:firstLine="643" w:firstLineChars="200"/>
        <w:rPr>
          <w:rFonts w:ascii="仿宋_GB2312" w:hAnsi="ˎ̥" w:eastAsia="仿宋_GB2312"/>
          <w:sz w:val="32"/>
          <w:szCs w:val="32"/>
        </w:rPr>
      </w:pPr>
      <w:r>
        <w:rPr>
          <w:rFonts w:hint="eastAsia" w:ascii="仿宋_GB2312" w:hAnsi="宋体" w:eastAsia="仿宋_GB2312" w:cs="仿宋_GB2312"/>
          <w:b/>
          <w:kern w:val="0"/>
          <w:sz w:val="32"/>
          <w:szCs w:val="32"/>
        </w:rPr>
        <w:t>1</w:t>
      </w:r>
      <w:r>
        <w:rPr>
          <w:rFonts w:hint="eastAsia" w:ascii="仿宋_GB2312" w:hAnsi="宋体" w:eastAsia="仿宋_GB2312" w:cs="仿宋_GB2312"/>
          <w:b/>
          <w:kern w:val="0"/>
          <w:sz w:val="32"/>
          <w:szCs w:val="32"/>
          <w:lang w:val="en-US" w:eastAsia="zh-CN"/>
        </w:rPr>
        <w:t>1</w:t>
      </w:r>
      <w:r>
        <w:rPr>
          <w:rFonts w:hint="eastAsia" w:ascii="仿宋_GB2312" w:hAnsi="宋体" w:eastAsia="仿宋_GB2312" w:cs="仿宋_GB2312"/>
          <w:b/>
          <w:kern w:val="0"/>
          <w:sz w:val="32"/>
          <w:szCs w:val="32"/>
        </w:rPr>
        <w:t>.住房保障支出（类）住房改革支出（款）购房补贴（项）。</w:t>
      </w:r>
      <w:r>
        <w:rPr>
          <w:rFonts w:hint="eastAsia" w:ascii="仿宋_GB2312" w:hAnsi="宋体" w:eastAsia="仿宋_GB2312" w:cs="仿宋_GB2312"/>
          <w:kern w:val="0"/>
          <w:sz w:val="32"/>
          <w:szCs w:val="32"/>
        </w:rPr>
        <w:t>年初预算数为0万元，支出决算数为24.98万元，完成年初预算的100%</w:t>
      </w:r>
      <w:r>
        <w:rPr>
          <w:rFonts w:hint="eastAsia" w:ascii="仿宋_GB2312" w:hAnsi="宋体" w:eastAsia="仿宋_GB2312" w:cs="仿宋_GB2312"/>
          <w:kern w:val="0"/>
          <w:sz w:val="32"/>
          <w:szCs w:val="32"/>
          <w:lang w:eastAsia="zh-CN"/>
        </w:rPr>
        <w:t>，</w:t>
      </w:r>
      <w:r>
        <w:rPr>
          <w:rFonts w:hint="eastAsia" w:ascii="仿宋_GB2312" w:hAnsi="ˎ̥" w:eastAsia="仿宋_GB2312"/>
          <w:sz w:val="32"/>
          <w:szCs w:val="32"/>
        </w:rPr>
        <w:t>决算数大于预算数的</w:t>
      </w:r>
      <w:bookmarkStart w:id="119" w:name="_GoBack"/>
      <w:bookmarkEnd w:id="119"/>
      <w:r>
        <w:rPr>
          <w:rFonts w:hint="eastAsia" w:ascii="仿宋_GB2312" w:hAnsi="ˎ̥" w:eastAsia="仿宋_GB2312"/>
          <w:sz w:val="32"/>
          <w:szCs w:val="32"/>
        </w:rPr>
        <w:t>主要原因：年终预算调整</w:t>
      </w:r>
      <w:r>
        <w:rPr>
          <w:rFonts w:hint="eastAsia" w:ascii="仿宋_GB2312" w:hAnsi="宋体" w:eastAsia="仿宋_GB2312" w:cs="仿宋_GB2312"/>
          <w:kern w:val="0"/>
          <w:sz w:val="32"/>
          <w:szCs w:val="32"/>
        </w:rPr>
        <w:t>。</w:t>
      </w:r>
    </w:p>
    <w:p w14:paraId="2CEC6EAF">
      <w:pPr>
        <w:spacing w:line="576" w:lineRule="exact"/>
        <w:ind w:firstLine="640" w:firstLineChars="200"/>
        <w:rPr>
          <w:rFonts w:ascii="黑体" w:hAnsi="黑体" w:eastAsia="黑体" w:cs="黑体"/>
          <w:sz w:val="32"/>
          <w:szCs w:val="32"/>
        </w:rPr>
      </w:pPr>
      <w:r>
        <w:rPr>
          <w:rFonts w:hint="eastAsia" w:ascii="黑体" w:hAnsi="黑体" w:eastAsia="黑体" w:cs="黑体"/>
          <w:bCs/>
          <w:sz w:val="32"/>
          <w:szCs w:val="32"/>
        </w:rPr>
        <w:t>六、一般公共预算财政拨款基本支出决算情况说明</w:t>
      </w:r>
    </w:p>
    <w:p w14:paraId="2A6554BD">
      <w:pPr>
        <w:tabs>
          <w:tab w:val="center" w:pos="4473"/>
        </w:tabs>
        <w:spacing w:line="576" w:lineRule="exact"/>
        <w:ind w:firstLine="640" w:firstLineChars="200"/>
        <w:rPr>
          <w:rFonts w:ascii="仿宋_GB2312" w:hAnsi="ˎ̥" w:eastAsia="仿宋_GB2312"/>
          <w:sz w:val="32"/>
          <w:szCs w:val="32"/>
        </w:rPr>
      </w:pPr>
      <w:r>
        <w:rPr>
          <w:rFonts w:ascii="仿宋_GB2312" w:hAnsi="ˎ̥" w:eastAsia="仿宋_GB2312"/>
          <w:sz w:val="32"/>
          <w:szCs w:val="32"/>
        </w:rPr>
        <w:t>2024</w:t>
      </w:r>
      <w:r>
        <w:rPr>
          <w:rFonts w:hint="eastAsia" w:ascii="仿宋_GB2312" w:hAnsi="ˎ̥" w:eastAsia="仿宋_GB2312"/>
          <w:sz w:val="32"/>
          <w:szCs w:val="32"/>
        </w:rPr>
        <w:t>年度财政拨款基本支出660.44万元，其中：</w:t>
      </w:r>
      <w:r>
        <w:rPr>
          <w:rFonts w:hint="eastAsia" w:ascii="仿宋_GB2312" w:hAnsi="ˎ̥" w:eastAsia="仿宋_GB2312"/>
          <w:b/>
          <w:sz w:val="32"/>
          <w:szCs w:val="32"/>
        </w:rPr>
        <w:t>人员经费</w:t>
      </w:r>
      <w:r>
        <w:rPr>
          <w:rFonts w:ascii="仿宋_GB2312" w:hAnsi="ˎ̥" w:eastAsia="仿宋_GB2312"/>
          <w:b/>
          <w:sz w:val="32"/>
          <w:szCs w:val="32"/>
        </w:rPr>
        <w:t>623.18</w:t>
      </w:r>
      <w:r>
        <w:rPr>
          <w:rFonts w:hint="eastAsia" w:ascii="仿宋_GB2312" w:hAnsi="ˎ̥" w:eastAsia="仿宋_GB2312"/>
          <w:b/>
          <w:sz w:val="32"/>
          <w:szCs w:val="32"/>
        </w:rPr>
        <w:t>万元，</w:t>
      </w:r>
      <w:r>
        <w:rPr>
          <w:rFonts w:hint="eastAsia" w:ascii="仿宋_GB2312" w:hAnsi="ˎ̥" w:eastAsia="仿宋_GB2312"/>
          <w:sz w:val="32"/>
          <w:szCs w:val="32"/>
        </w:rPr>
        <w:t xml:space="preserve">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                </w:t>
      </w:r>
      <w:r>
        <w:rPr>
          <w:rFonts w:ascii="仿宋_GB2312" w:hAnsi="ˎ̥" w:eastAsia="仿宋_GB2312"/>
          <w:sz w:val="32"/>
          <w:szCs w:val="32"/>
        </w:rPr>
        <w:br w:type="textWrapping"/>
      </w:r>
      <w:r>
        <w:rPr>
          <w:rFonts w:hint="eastAsia" w:ascii="仿宋_GB2312" w:hAnsi="ˎ̥" w:eastAsia="仿宋_GB2312"/>
          <w:sz w:val="32"/>
          <w:szCs w:val="32"/>
        </w:rPr>
        <w:t xml:space="preserve">  </w:t>
      </w:r>
      <w:r>
        <w:rPr>
          <w:rFonts w:hint="eastAsia" w:ascii="仿宋_GB2312" w:hAnsi="ˎ̥" w:eastAsia="仿宋_GB2312"/>
          <w:b/>
          <w:sz w:val="32"/>
          <w:szCs w:val="32"/>
        </w:rPr>
        <w:t xml:space="preserve">  公用经费</w:t>
      </w:r>
      <w:r>
        <w:rPr>
          <w:rFonts w:ascii="仿宋_GB2312" w:hAnsi="ˎ̥" w:eastAsia="仿宋_GB2312"/>
          <w:b/>
          <w:sz w:val="32"/>
          <w:szCs w:val="32"/>
        </w:rPr>
        <w:t>37.26</w:t>
      </w:r>
      <w:r>
        <w:rPr>
          <w:rFonts w:hint="eastAsia" w:ascii="仿宋_GB2312" w:hAnsi="ˎ̥" w:eastAsia="仿宋_GB2312"/>
          <w:b/>
          <w:sz w:val="32"/>
          <w:szCs w:val="32"/>
        </w:rPr>
        <w:t>万元</w:t>
      </w:r>
      <w:r>
        <w:rPr>
          <w:rFonts w:hint="eastAsia" w:ascii="仿宋_GB2312" w:hAnsi="ˎ̥" w:eastAsia="仿宋_GB2312"/>
          <w:sz w:val="32"/>
          <w:szCs w:val="32"/>
        </w:rPr>
        <w:t>，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购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14:paraId="7896CF96">
      <w:pPr>
        <w:tabs>
          <w:tab w:val="center" w:pos="4473"/>
        </w:tabs>
        <w:spacing w:line="576" w:lineRule="exact"/>
        <w:ind w:firstLine="627" w:firstLineChars="196"/>
        <w:rPr>
          <w:rFonts w:ascii="黑体" w:hAnsi="黑体" w:eastAsia="黑体" w:cs="黑体"/>
          <w:bCs/>
          <w:sz w:val="32"/>
          <w:szCs w:val="32"/>
        </w:rPr>
      </w:pPr>
      <w:r>
        <w:rPr>
          <w:rFonts w:hint="eastAsia" w:ascii="黑体" w:hAnsi="黑体" w:eastAsia="黑体" w:cs="黑体"/>
          <w:bCs/>
          <w:sz w:val="32"/>
          <w:szCs w:val="32"/>
        </w:rPr>
        <w:t>七、政府性基金预算财政拨款支出决算情况说明</w:t>
      </w:r>
    </w:p>
    <w:p w14:paraId="59AB9758">
      <w:pPr>
        <w:spacing w:line="576" w:lineRule="exact"/>
        <w:ind w:firstLine="640" w:firstLineChars="200"/>
        <w:rPr>
          <w:rFonts w:ascii="仿宋_GB2312" w:hAnsi="ˎ̥" w:eastAsia="仿宋_GB2312"/>
          <w:sz w:val="32"/>
          <w:szCs w:val="32"/>
        </w:rPr>
      </w:pPr>
      <w:r>
        <w:rPr>
          <w:rFonts w:hint="eastAsia" w:ascii="仿宋_GB2312" w:hAnsi="ˎ̥" w:eastAsia="仿宋_GB2312"/>
          <w:sz w:val="32"/>
          <w:szCs w:val="32"/>
        </w:rPr>
        <w:t>我单位无政府基金预算财政拨款。</w:t>
      </w:r>
    </w:p>
    <w:p w14:paraId="67B7BC31">
      <w:pPr>
        <w:tabs>
          <w:tab w:val="center" w:pos="4473"/>
        </w:tabs>
        <w:spacing w:line="576" w:lineRule="exact"/>
        <w:ind w:firstLine="627" w:firstLineChars="196"/>
        <w:rPr>
          <w:rFonts w:ascii="黑体" w:hAnsi="黑体" w:eastAsia="黑体" w:cs="黑体"/>
          <w:bCs/>
          <w:sz w:val="32"/>
          <w:szCs w:val="32"/>
        </w:rPr>
      </w:pPr>
      <w:r>
        <w:rPr>
          <w:rFonts w:hint="eastAsia" w:ascii="黑体" w:hAnsi="黑体" w:eastAsia="黑体" w:cs="黑体"/>
          <w:bCs/>
          <w:sz w:val="32"/>
          <w:szCs w:val="32"/>
        </w:rPr>
        <w:t>八、国有资本经营预算财政拨款支出决算情况说明</w:t>
      </w:r>
    </w:p>
    <w:p w14:paraId="2BD7A1B2">
      <w:pPr>
        <w:spacing w:line="576" w:lineRule="exact"/>
        <w:ind w:firstLine="627" w:firstLineChars="196"/>
        <w:rPr>
          <w:rFonts w:ascii="仿宋_GB2312" w:hAnsi="ˎ̥" w:eastAsia="仿宋_GB2312"/>
          <w:sz w:val="32"/>
          <w:szCs w:val="32"/>
        </w:rPr>
      </w:pPr>
      <w:r>
        <w:rPr>
          <w:rFonts w:hint="eastAsia" w:ascii="仿宋_GB2312" w:hAnsi="ˎ̥" w:eastAsia="仿宋_GB2312"/>
          <w:sz w:val="32"/>
          <w:szCs w:val="32"/>
        </w:rPr>
        <w:t>我单位无国有资本经营预算财政拨款。</w:t>
      </w:r>
    </w:p>
    <w:p w14:paraId="07C98E47">
      <w:pPr>
        <w:spacing w:line="576" w:lineRule="exact"/>
        <w:ind w:firstLine="627" w:firstLineChars="196"/>
        <w:rPr>
          <w:rFonts w:ascii="仿宋_GB2312" w:hAnsi="ˎ̥" w:eastAsia="楷体_GB2312"/>
          <w:sz w:val="32"/>
          <w:szCs w:val="32"/>
        </w:rPr>
      </w:pPr>
      <w:r>
        <w:rPr>
          <w:rFonts w:hint="eastAsia" w:ascii="黑体" w:hAnsi="黑体" w:eastAsia="黑体" w:cs="黑体"/>
          <w:bCs/>
          <w:sz w:val="32"/>
          <w:szCs w:val="32"/>
        </w:rPr>
        <w:t>九、财政拨款“三公”经费支出决算情况说明</w:t>
      </w:r>
    </w:p>
    <w:p w14:paraId="23FD22EF">
      <w:pPr>
        <w:spacing w:line="576" w:lineRule="exact"/>
        <w:ind w:firstLine="627" w:firstLineChars="196"/>
        <w:rPr>
          <w:rFonts w:ascii="仿宋_GB2312" w:hAnsi="ˎ̥" w:eastAsia="楷体_GB2312"/>
          <w:sz w:val="32"/>
          <w:szCs w:val="32"/>
        </w:rPr>
      </w:pPr>
      <w:r>
        <w:rPr>
          <w:rFonts w:hint="eastAsia" w:ascii="楷体" w:hAnsi="楷体" w:eastAsia="楷体" w:cs="楷体"/>
          <w:bCs/>
          <w:sz w:val="32"/>
          <w:szCs w:val="32"/>
        </w:rPr>
        <w:t>（一）财政拨款“三公”经费支出决算总体情况说明</w:t>
      </w:r>
    </w:p>
    <w:p w14:paraId="4F9BFF05">
      <w:pPr>
        <w:spacing w:line="576" w:lineRule="exact"/>
        <w:ind w:firstLine="640" w:firstLineChars="200"/>
        <w:rPr>
          <w:rFonts w:ascii="仿宋_GB2312" w:hAnsi="ˎ̥" w:eastAsia="仿宋_GB2312"/>
          <w:sz w:val="32"/>
          <w:szCs w:val="32"/>
        </w:rPr>
      </w:pPr>
      <w:r>
        <w:rPr>
          <w:rFonts w:ascii="仿宋_GB2312" w:hAnsi="ˎ̥" w:eastAsia="仿宋_GB2312"/>
          <w:sz w:val="32"/>
          <w:szCs w:val="32"/>
        </w:rPr>
        <w:t>2024</w:t>
      </w:r>
      <w:r>
        <w:rPr>
          <w:rFonts w:hint="eastAsia" w:ascii="仿宋_GB2312" w:hAnsi="ˎ̥" w:eastAsia="仿宋_GB2312"/>
          <w:sz w:val="32"/>
          <w:szCs w:val="32"/>
        </w:rPr>
        <w:t>年度财政拨款“三公”经费支出预算为0万元，支出决算为</w:t>
      </w:r>
      <w:r>
        <w:rPr>
          <w:rFonts w:ascii="仿宋_GB2312" w:hAnsi="ˎ̥" w:eastAsia="仿宋_GB2312"/>
          <w:sz w:val="32"/>
          <w:szCs w:val="32"/>
        </w:rPr>
        <w:t>0.00</w:t>
      </w:r>
      <w:r>
        <w:rPr>
          <w:rFonts w:hint="eastAsia" w:ascii="仿宋_GB2312" w:hAnsi="ˎ̥" w:eastAsia="仿宋_GB2312"/>
          <w:sz w:val="32"/>
          <w:szCs w:val="32"/>
        </w:rPr>
        <w:t>万元，完成预算的0%，</w:t>
      </w:r>
      <w:r>
        <w:rPr>
          <w:rFonts w:ascii="仿宋_GB2312" w:hAnsi="ˎ̥" w:eastAsia="仿宋_GB2312"/>
          <w:sz w:val="32"/>
          <w:szCs w:val="32"/>
        </w:rPr>
        <w:t>与2023</w:t>
      </w:r>
      <w:r>
        <w:rPr>
          <w:rFonts w:hint="eastAsia" w:ascii="仿宋_GB2312" w:hAnsi="ˎ̥" w:eastAsia="仿宋_GB2312"/>
          <w:sz w:val="32"/>
          <w:szCs w:val="32"/>
        </w:rPr>
        <w:t>年度</w:t>
      </w:r>
      <w:r>
        <w:rPr>
          <w:rFonts w:ascii="仿宋_GB2312" w:hAnsi="ˎ̥" w:eastAsia="仿宋_GB2312"/>
          <w:sz w:val="32"/>
          <w:szCs w:val="32"/>
        </w:rPr>
        <w:t>相比，</w:t>
      </w:r>
      <w:r>
        <w:rPr>
          <w:rFonts w:hint="eastAsia" w:ascii="仿宋_GB2312" w:hAnsi="ˎ̥" w:eastAsia="仿宋_GB2312"/>
          <w:sz w:val="32"/>
          <w:szCs w:val="32"/>
        </w:rPr>
        <w:t>“三公”经费支出增加</w:t>
      </w:r>
      <w:r>
        <w:rPr>
          <w:rFonts w:ascii="仿宋_GB2312" w:hAnsi="ˎ̥" w:eastAsia="仿宋_GB2312"/>
          <w:sz w:val="32"/>
          <w:szCs w:val="32"/>
        </w:rPr>
        <w:t>（</w:t>
      </w:r>
      <w:r>
        <w:rPr>
          <w:rFonts w:hint="eastAsia" w:ascii="仿宋_GB2312" w:hAnsi="ˎ̥" w:eastAsia="仿宋_GB2312"/>
          <w:sz w:val="32"/>
          <w:szCs w:val="32"/>
        </w:rPr>
        <w:t>减少</w:t>
      </w:r>
      <w:r>
        <w:rPr>
          <w:rFonts w:ascii="仿宋_GB2312" w:hAnsi="ˎ̥" w:eastAsia="仿宋_GB2312"/>
          <w:sz w:val="32"/>
          <w:szCs w:val="32"/>
        </w:rPr>
        <w:t>）</w:t>
      </w:r>
      <w:r>
        <w:rPr>
          <w:rFonts w:hint="eastAsia" w:ascii="仿宋_GB2312" w:hAnsi="ˎ̥" w:eastAsia="仿宋_GB2312"/>
          <w:sz w:val="32"/>
          <w:szCs w:val="32"/>
        </w:rPr>
        <w:t>0万元</w:t>
      </w:r>
      <w:r>
        <w:rPr>
          <w:rFonts w:ascii="仿宋_GB2312" w:hAnsi="ˎ̥" w:eastAsia="仿宋_GB2312"/>
          <w:sz w:val="32"/>
          <w:szCs w:val="32"/>
        </w:rPr>
        <w:t>，增长（</w:t>
      </w:r>
      <w:r>
        <w:rPr>
          <w:rFonts w:hint="eastAsia" w:ascii="仿宋_GB2312" w:hAnsi="ˎ̥" w:eastAsia="仿宋_GB2312"/>
          <w:sz w:val="32"/>
          <w:szCs w:val="32"/>
        </w:rPr>
        <w:t>下降</w:t>
      </w:r>
      <w:r>
        <w:rPr>
          <w:rFonts w:ascii="仿宋_GB2312" w:hAnsi="ˎ̥" w:eastAsia="仿宋_GB2312"/>
          <w:sz w:val="32"/>
          <w:szCs w:val="32"/>
        </w:rPr>
        <w:t>）</w:t>
      </w:r>
      <w:r>
        <w:rPr>
          <w:rFonts w:hint="eastAsia" w:ascii="仿宋_GB2312" w:hAnsi="ˎ̥" w:eastAsia="仿宋_GB2312"/>
          <w:sz w:val="32"/>
          <w:szCs w:val="32"/>
        </w:rPr>
        <w:t>0%。</w:t>
      </w:r>
    </w:p>
    <w:p w14:paraId="2F4129FC">
      <w:pPr>
        <w:spacing w:line="576" w:lineRule="exact"/>
        <w:ind w:firstLine="640" w:firstLineChars="200"/>
        <w:rPr>
          <w:rFonts w:ascii="仿宋_GB2312" w:hAnsi="ˎ̥" w:eastAsia="仿宋_GB2312"/>
          <w:sz w:val="32"/>
          <w:szCs w:val="32"/>
        </w:rPr>
      </w:pPr>
      <w:r>
        <w:rPr>
          <w:rFonts w:hint="eastAsia" w:ascii="楷体" w:hAnsi="楷体" w:eastAsia="楷体" w:cs="楷体"/>
          <w:sz w:val="32"/>
          <w:szCs w:val="32"/>
        </w:rPr>
        <w:t>（二）财政拨款“三公”经费支出决算具体情况说明</w:t>
      </w:r>
    </w:p>
    <w:p w14:paraId="12F05F52">
      <w:pPr>
        <w:spacing w:line="576" w:lineRule="exact"/>
        <w:ind w:firstLine="640" w:firstLineChars="200"/>
        <w:rPr>
          <w:rFonts w:ascii="仿宋_GB2312" w:hAnsi="ˎ̥" w:eastAsia="仿宋_GB2312"/>
          <w:sz w:val="32"/>
          <w:szCs w:val="32"/>
        </w:rPr>
      </w:pPr>
      <w:r>
        <w:rPr>
          <w:rFonts w:ascii="仿宋_GB2312" w:hAnsi="ˎ̥" w:eastAsia="仿宋_GB2312"/>
          <w:sz w:val="32"/>
          <w:szCs w:val="32"/>
        </w:rPr>
        <w:t>2024</w:t>
      </w:r>
      <w:r>
        <w:rPr>
          <w:rFonts w:hint="eastAsia" w:ascii="仿宋_GB2312" w:hAnsi="ˎ̥" w:eastAsia="仿宋_GB2312"/>
          <w:sz w:val="32"/>
          <w:szCs w:val="32"/>
        </w:rPr>
        <w:t>年度财政拨款“三公”经费支出决算中，因公出国（境）费支出决算</w:t>
      </w:r>
      <w:r>
        <w:rPr>
          <w:rFonts w:ascii="仿宋_GB2312" w:hAnsi="ˎ̥" w:eastAsia="仿宋_GB2312"/>
          <w:sz w:val="32"/>
          <w:szCs w:val="32"/>
        </w:rPr>
        <w:t>0.00</w:t>
      </w:r>
      <w:r>
        <w:rPr>
          <w:rFonts w:hint="eastAsia" w:ascii="仿宋_GB2312" w:hAnsi="ˎ̥" w:eastAsia="仿宋_GB2312"/>
          <w:sz w:val="32"/>
          <w:szCs w:val="32"/>
        </w:rPr>
        <w:t>万元，占0%；公务用车购置及运行维护费支出决算</w:t>
      </w:r>
      <w:r>
        <w:rPr>
          <w:rFonts w:ascii="仿宋_GB2312" w:hAnsi="ˎ̥" w:eastAsia="仿宋_GB2312"/>
          <w:sz w:val="32"/>
          <w:szCs w:val="32"/>
        </w:rPr>
        <w:t>0.00</w:t>
      </w:r>
      <w:r>
        <w:rPr>
          <w:rFonts w:hint="eastAsia" w:ascii="仿宋_GB2312" w:hAnsi="ˎ̥" w:eastAsia="仿宋_GB2312"/>
          <w:sz w:val="32"/>
          <w:szCs w:val="32"/>
        </w:rPr>
        <w:t>万元，占0%；公务接待费支出决算0万元，占0%。具体情况如下：</w:t>
      </w:r>
    </w:p>
    <w:p w14:paraId="29A19635">
      <w:pPr>
        <w:spacing w:line="576" w:lineRule="exact"/>
        <w:ind w:firstLine="643" w:firstLineChars="200"/>
        <w:rPr>
          <w:rFonts w:ascii="仿宋_GB2312" w:hAnsi="ˎ̥" w:eastAsia="仿宋_GB2312"/>
          <w:sz w:val="32"/>
          <w:szCs w:val="32"/>
        </w:rPr>
      </w:pPr>
      <w:r>
        <w:rPr>
          <w:rFonts w:hint="eastAsia" w:ascii="仿宋_GB2312" w:hAnsi="ˎ̥" w:eastAsia="仿宋_GB2312"/>
          <w:b/>
          <w:sz w:val="32"/>
          <w:szCs w:val="32"/>
        </w:rPr>
        <w:t>1.因公出国（境）费</w:t>
      </w:r>
      <w:r>
        <w:rPr>
          <w:rFonts w:hint="eastAsia" w:ascii="仿宋_GB2312" w:hAnsi="ˎ̥" w:eastAsia="仿宋_GB2312"/>
          <w:sz w:val="32"/>
          <w:szCs w:val="32"/>
        </w:rPr>
        <w:t>支出</w:t>
      </w:r>
      <w:r>
        <w:rPr>
          <w:rFonts w:ascii="仿宋_GB2312" w:hAnsi="ˎ̥" w:eastAsia="仿宋_GB2312"/>
          <w:sz w:val="32"/>
          <w:szCs w:val="32"/>
        </w:rPr>
        <w:t>0.00</w:t>
      </w:r>
      <w:r>
        <w:rPr>
          <w:rFonts w:hint="eastAsia" w:ascii="仿宋_GB2312" w:hAnsi="ˎ̥" w:eastAsia="仿宋_GB2312"/>
          <w:sz w:val="32"/>
          <w:szCs w:val="32"/>
        </w:rPr>
        <w:t>万元。全年安排因公出国（境）团组0个，因公出国（境）0人次。</w:t>
      </w:r>
    </w:p>
    <w:p w14:paraId="7565DF79">
      <w:pPr>
        <w:spacing w:line="576" w:lineRule="exact"/>
        <w:ind w:firstLine="643" w:firstLineChars="200"/>
        <w:rPr>
          <w:rFonts w:ascii="仿宋_GB2312" w:hAnsi="ˎ̥" w:eastAsia="仿宋_GB2312"/>
          <w:bCs/>
          <w:sz w:val="32"/>
          <w:szCs w:val="32"/>
        </w:rPr>
      </w:pPr>
      <w:r>
        <w:rPr>
          <w:rFonts w:hint="eastAsia" w:ascii="仿宋_GB2312" w:hAnsi="ˎ̥" w:eastAsia="仿宋_GB2312"/>
          <w:b/>
          <w:sz w:val="32"/>
          <w:szCs w:val="32"/>
        </w:rPr>
        <w:t>2.公务用车购置及运行维护费</w:t>
      </w:r>
      <w:r>
        <w:rPr>
          <w:rFonts w:hint="eastAsia" w:ascii="仿宋_GB2312" w:hAnsi="ˎ̥" w:eastAsia="仿宋_GB2312"/>
          <w:bCs/>
          <w:sz w:val="32"/>
          <w:szCs w:val="32"/>
        </w:rPr>
        <w:t>支出</w:t>
      </w:r>
      <w:r>
        <w:rPr>
          <w:rFonts w:ascii="仿宋_GB2312" w:hAnsi="ˎ̥" w:eastAsia="仿宋_GB2312"/>
          <w:sz w:val="32"/>
          <w:szCs w:val="32"/>
        </w:rPr>
        <w:t>0.00</w:t>
      </w:r>
      <w:r>
        <w:rPr>
          <w:rFonts w:hint="eastAsia" w:ascii="仿宋_GB2312" w:hAnsi="ˎ̥" w:eastAsia="仿宋_GB2312"/>
          <w:sz w:val="32"/>
          <w:szCs w:val="32"/>
        </w:rPr>
        <w:t>万元</w:t>
      </w:r>
    </w:p>
    <w:p w14:paraId="2A15DA70">
      <w:pPr>
        <w:spacing w:line="576" w:lineRule="exact"/>
        <w:rPr>
          <w:rFonts w:ascii="仿宋_GB2312" w:hAnsi="ˎ̥" w:eastAsia="仿宋_GB2312"/>
          <w:sz w:val="32"/>
          <w:szCs w:val="32"/>
        </w:rPr>
      </w:pPr>
      <w:r>
        <w:rPr>
          <w:rFonts w:hint="eastAsia" w:ascii="仿宋_GB2312" w:hAnsi="ˎ̥" w:eastAsia="仿宋_GB2312"/>
          <w:b/>
          <w:sz w:val="32"/>
          <w:szCs w:val="32"/>
        </w:rPr>
        <w:t xml:space="preserve">    3.公务接待费</w:t>
      </w:r>
      <w:r>
        <w:rPr>
          <w:rFonts w:hint="eastAsia" w:ascii="仿宋_GB2312" w:hAnsi="ˎ̥" w:eastAsia="仿宋_GB2312"/>
          <w:bCs/>
          <w:sz w:val="32"/>
          <w:szCs w:val="32"/>
        </w:rPr>
        <w:t>支出</w:t>
      </w:r>
      <w:r>
        <w:rPr>
          <w:rFonts w:ascii="仿宋_GB2312" w:hAnsi="ˎ̥" w:eastAsia="仿宋_GB2312"/>
          <w:sz w:val="32"/>
          <w:szCs w:val="32"/>
        </w:rPr>
        <w:t>0.00</w:t>
      </w:r>
      <w:r>
        <w:rPr>
          <w:rFonts w:hint="eastAsia" w:ascii="仿宋_GB2312" w:hAnsi="ˎ̥" w:eastAsia="仿宋_GB2312"/>
          <w:sz w:val="32"/>
          <w:szCs w:val="32"/>
        </w:rPr>
        <w:t>万元，其中：</w:t>
      </w:r>
    </w:p>
    <w:p w14:paraId="7F6F3CC2">
      <w:pPr>
        <w:spacing w:line="576" w:lineRule="exact"/>
        <w:ind w:left="638" w:leftChars="304"/>
        <w:rPr>
          <w:rFonts w:ascii="仿宋_GB2312" w:hAnsi="ˎ̥" w:eastAsia="仿宋_GB2312"/>
          <w:sz w:val="32"/>
          <w:szCs w:val="32"/>
        </w:rPr>
      </w:pPr>
      <w:r>
        <w:rPr>
          <w:rFonts w:hint="eastAsia" w:ascii="仿宋_GB2312" w:hAnsi="ˎ̥" w:eastAsia="仿宋_GB2312"/>
          <w:b/>
          <w:sz w:val="32"/>
          <w:szCs w:val="32"/>
        </w:rPr>
        <w:t>国内接待费</w:t>
      </w:r>
      <w:r>
        <w:rPr>
          <w:rFonts w:hint="eastAsia" w:ascii="仿宋_GB2312" w:hAnsi="ˎ̥" w:eastAsia="仿宋_GB2312"/>
          <w:sz w:val="32"/>
          <w:szCs w:val="32"/>
        </w:rPr>
        <w:t>支出0万元，国内公务接待0批次，接待0人次；</w:t>
      </w:r>
      <w:r>
        <w:rPr>
          <w:rFonts w:hint="eastAsia" w:ascii="仿宋_GB2312" w:hAnsi="ˎ̥" w:eastAsia="仿宋_GB2312"/>
          <w:b/>
          <w:bCs/>
          <w:sz w:val="32"/>
          <w:szCs w:val="32"/>
        </w:rPr>
        <w:t>国（境）外接待费</w:t>
      </w:r>
      <w:r>
        <w:rPr>
          <w:rFonts w:hint="eastAsia" w:ascii="仿宋_GB2312" w:hAnsi="ˎ̥" w:eastAsia="仿宋_GB2312"/>
          <w:sz w:val="32"/>
          <w:szCs w:val="32"/>
        </w:rPr>
        <w:t>支出0万元，国（境）外公务接待0批次，接待0人次。</w:t>
      </w:r>
    </w:p>
    <w:p w14:paraId="49EC20FD">
      <w:pPr>
        <w:spacing w:line="576" w:lineRule="exact"/>
        <w:ind w:firstLine="640" w:firstLineChars="200"/>
        <w:rPr>
          <w:rFonts w:ascii="黑体" w:hAnsi="黑体" w:eastAsia="黑体" w:cs="黑体"/>
          <w:bCs/>
          <w:sz w:val="32"/>
          <w:szCs w:val="32"/>
        </w:rPr>
      </w:pPr>
      <w:r>
        <w:rPr>
          <w:rFonts w:hint="eastAsia" w:ascii="黑体" w:hAnsi="黑体" w:eastAsia="黑体" w:cs="黑体"/>
          <w:bCs/>
          <w:sz w:val="32"/>
          <w:szCs w:val="32"/>
        </w:rPr>
        <w:t>十、预算绩效情况说明</w:t>
      </w:r>
    </w:p>
    <w:p w14:paraId="5B32B5B6">
      <w:pPr>
        <w:spacing w:line="576" w:lineRule="exact"/>
        <w:ind w:firstLine="640" w:firstLineChars="200"/>
        <w:rPr>
          <w:rFonts w:ascii="楷体" w:hAnsi="楷体" w:eastAsia="楷体" w:cs="楷体"/>
          <w:bCs/>
          <w:sz w:val="32"/>
          <w:szCs w:val="32"/>
        </w:rPr>
      </w:pPr>
      <w:r>
        <w:rPr>
          <w:rFonts w:hint="eastAsia" w:ascii="楷体" w:hAnsi="楷体" w:eastAsia="楷体" w:cs="楷体"/>
          <w:bCs/>
          <w:sz w:val="32"/>
          <w:szCs w:val="32"/>
        </w:rPr>
        <w:t>（一）绩效管理工作开展情况</w:t>
      </w:r>
    </w:p>
    <w:p w14:paraId="0EEA14A3">
      <w:pPr>
        <w:spacing w:line="576" w:lineRule="exact"/>
        <w:ind w:firstLine="640" w:firstLineChars="200"/>
        <w:rPr>
          <w:rFonts w:ascii="仿宋_GB2312" w:eastAsia="仿宋_GB2312"/>
          <w:sz w:val="32"/>
          <w:szCs w:val="32"/>
        </w:rPr>
      </w:pPr>
      <w:r>
        <w:rPr>
          <w:rFonts w:hint="eastAsia" w:ascii="仿宋_GB2312" w:eastAsia="仿宋_GB2312"/>
          <w:sz w:val="32"/>
          <w:szCs w:val="32"/>
        </w:rPr>
        <w:t>根据财政预算绩效管理要求，我单位组织对</w:t>
      </w:r>
      <w:r>
        <w:rPr>
          <w:rFonts w:ascii="仿宋_GB2312" w:eastAsia="仿宋_GB2312"/>
          <w:sz w:val="32"/>
          <w:szCs w:val="32"/>
        </w:rPr>
        <w:t>2024</w:t>
      </w:r>
      <w:r>
        <w:rPr>
          <w:rFonts w:hint="eastAsia" w:ascii="仿宋_GB2312" w:eastAsia="仿宋_GB2312"/>
          <w:sz w:val="32"/>
          <w:szCs w:val="32"/>
        </w:rPr>
        <w:t>年度一般公共预算项目支出全面开展绩效自评</w:t>
      </w:r>
      <w:r>
        <w:rPr>
          <w:rFonts w:hint="eastAsia" w:ascii="仿宋_GB2312" w:eastAsia="仿宋_GB2312"/>
          <w:sz w:val="32"/>
          <w:szCs w:val="32"/>
          <w:lang w:eastAsia="zh-CN"/>
        </w:rPr>
        <w:t>，</w:t>
      </w:r>
      <w:r>
        <w:rPr>
          <w:rFonts w:hint="eastAsia" w:ascii="仿宋_GB2312" w:eastAsia="仿宋_GB2312"/>
          <w:sz w:val="32"/>
          <w:szCs w:val="32"/>
        </w:rPr>
        <w:t>共涉及资金66.92万元，占一般公共预算项目支出总额的100%。</w:t>
      </w:r>
    </w:p>
    <w:p w14:paraId="4798F580">
      <w:pPr>
        <w:spacing w:line="576" w:lineRule="exact"/>
        <w:ind w:firstLine="640" w:firstLineChars="200"/>
        <w:rPr>
          <w:rFonts w:ascii="仿宋_GB2312" w:eastAsia="仿宋_GB2312"/>
          <w:sz w:val="32"/>
          <w:szCs w:val="32"/>
        </w:rPr>
      </w:pPr>
      <w:r>
        <w:rPr>
          <w:rFonts w:hint="eastAsia" w:ascii="仿宋_GB2312" w:eastAsia="仿宋_GB2312"/>
          <w:sz w:val="32"/>
          <w:szCs w:val="32"/>
        </w:rPr>
        <w:t>共组织对全体会议等9个项目开展了部门评价，涉及一般公共预算支出66.92万元，从评价情况来看，按照项目绩效工作要求，巴宜区政协办注重项目绩效编制、实施和考核等一系列的绩效评价工作，有效保证了绩效编制的客观性、准确性和可参考性。2024年巴宜区政协办共实施9个行政事业类项目，项目支出共计66.92万元。</w:t>
      </w:r>
    </w:p>
    <w:p w14:paraId="756F3B2F">
      <w:pPr>
        <w:spacing w:line="576" w:lineRule="exact"/>
        <w:ind w:firstLine="640" w:firstLineChars="200"/>
        <w:rPr>
          <w:rFonts w:ascii="楷体" w:hAnsi="楷体" w:eastAsia="楷体" w:cs="楷体"/>
          <w:bCs/>
          <w:sz w:val="32"/>
          <w:szCs w:val="32"/>
        </w:rPr>
      </w:pPr>
      <w:r>
        <w:rPr>
          <w:rFonts w:hint="eastAsia" w:ascii="楷体" w:hAnsi="楷体" w:eastAsia="楷体" w:cs="楷体"/>
          <w:bCs/>
          <w:sz w:val="32"/>
          <w:szCs w:val="32"/>
        </w:rPr>
        <w:t>（二）部门决算中项目绩效自评结果</w:t>
      </w:r>
    </w:p>
    <w:p w14:paraId="05FF55D9">
      <w:pPr>
        <w:spacing w:line="576" w:lineRule="exact"/>
        <w:ind w:firstLine="640" w:firstLineChars="200"/>
        <w:rPr>
          <w:rFonts w:ascii="仿宋_GB2312" w:hAnsi="楷体" w:eastAsia="仿宋_GB2312" w:cs="楷体"/>
          <w:bCs/>
          <w:sz w:val="32"/>
          <w:szCs w:val="32"/>
        </w:rPr>
      </w:pPr>
      <w:r>
        <w:rPr>
          <w:rFonts w:hint="eastAsia" w:ascii="仿宋_GB2312" w:hAnsi="楷体" w:eastAsia="仿宋_GB2312" w:cs="楷体"/>
          <w:bCs/>
          <w:sz w:val="32"/>
          <w:szCs w:val="32"/>
        </w:rPr>
        <w:t>项目绩效自评报告见附件</w:t>
      </w:r>
    </w:p>
    <w:p w14:paraId="5C94B279">
      <w:pPr>
        <w:numPr>
          <w:ilvl w:val="0"/>
          <w:numId w:val="2"/>
        </w:numPr>
        <w:spacing w:line="576" w:lineRule="exact"/>
        <w:ind w:firstLine="640" w:firstLineChars="200"/>
        <w:rPr>
          <w:rFonts w:ascii="楷体" w:hAnsi="楷体" w:eastAsia="楷体" w:cs="楷体"/>
          <w:bCs/>
          <w:sz w:val="32"/>
          <w:szCs w:val="32"/>
        </w:rPr>
      </w:pPr>
      <w:r>
        <w:rPr>
          <w:rFonts w:hint="eastAsia" w:ascii="楷体" w:hAnsi="楷体" w:eastAsia="楷体" w:cs="楷体"/>
          <w:bCs/>
          <w:sz w:val="32"/>
          <w:szCs w:val="32"/>
        </w:rPr>
        <w:t>部门评价结果</w:t>
      </w:r>
    </w:p>
    <w:p w14:paraId="7D1F9409">
      <w:pPr>
        <w:spacing w:line="576" w:lineRule="exact"/>
        <w:ind w:firstLine="640" w:firstLineChars="200"/>
        <w:rPr>
          <w:rFonts w:ascii="仿宋_GB2312" w:hAnsi="楷体" w:eastAsia="仿宋_GB2312" w:cs="楷体"/>
          <w:bCs/>
          <w:sz w:val="32"/>
          <w:szCs w:val="32"/>
        </w:rPr>
      </w:pPr>
      <w:r>
        <w:rPr>
          <w:rFonts w:hint="eastAsia" w:ascii="仿宋_GB2312" w:hAnsi="楷体" w:eastAsia="仿宋_GB2312" w:cs="楷体"/>
          <w:bCs/>
          <w:sz w:val="32"/>
          <w:szCs w:val="32"/>
        </w:rPr>
        <w:t>在项目绩效科学编制的基础上，继续注重加强绩效管理工作，进一步强化预算实施部门的绩效意识和支出责任，逐步加快构建“预算编制有目标、预算执行有监控、预算完成有评价、评价结果有反馈、反馈结果有运用”的预算绩效管理机制。通过行政事业项目认真实施，保障区政协办公室的各项工作顺利开展，促进区政协办公室工作科学化水平进一步提高，以改革创新精神着力推进区政协机关的建设，为推进西藏长治久安和高质量发展提供坚强的组织保障。</w:t>
      </w:r>
    </w:p>
    <w:p w14:paraId="014080BA">
      <w:pPr>
        <w:spacing w:line="576" w:lineRule="exact"/>
        <w:ind w:firstLine="640" w:firstLineChars="200"/>
        <w:rPr>
          <w:rFonts w:ascii="黑体" w:hAnsi="黑体" w:eastAsia="黑体" w:cs="黑体"/>
          <w:bCs/>
          <w:sz w:val="32"/>
          <w:szCs w:val="32"/>
        </w:rPr>
      </w:pPr>
      <w:r>
        <w:rPr>
          <w:rFonts w:hint="eastAsia" w:ascii="黑体" w:hAnsi="黑体" w:eastAsia="黑体" w:cs="黑体"/>
          <w:bCs/>
          <w:sz w:val="32"/>
          <w:szCs w:val="32"/>
        </w:rPr>
        <w:t>十一、其他重要事项情况说明</w:t>
      </w:r>
    </w:p>
    <w:p w14:paraId="3A13F808">
      <w:pPr>
        <w:spacing w:line="576" w:lineRule="exact"/>
        <w:ind w:firstLine="640" w:firstLineChars="200"/>
        <w:rPr>
          <w:rFonts w:ascii="楷体" w:hAnsi="楷体" w:eastAsia="楷体" w:cs="楷体"/>
          <w:bCs/>
          <w:sz w:val="32"/>
          <w:szCs w:val="32"/>
        </w:rPr>
      </w:pPr>
      <w:bookmarkStart w:id="95" w:name="_Toc18325_WPSOffice_Level2"/>
      <w:bookmarkStart w:id="96" w:name="_Toc5978_WPSOffice_Level2"/>
      <w:bookmarkStart w:id="97" w:name="_Toc15262_WPSOffice_Level2"/>
      <w:bookmarkStart w:id="98" w:name="_Toc32639_WPSOffice_Level2"/>
      <w:bookmarkStart w:id="99" w:name="_Toc15565_WPSOffice_Level2"/>
      <w:bookmarkStart w:id="100" w:name="_Toc23598_WPSOffice_Level2"/>
      <w:r>
        <w:rPr>
          <w:rFonts w:hint="eastAsia" w:ascii="楷体" w:hAnsi="楷体" w:eastAsia="楷体" w:cs="楷体"/>
          <w:bCs/>
          <w:sz w:val="32"/>
          <w:szCs w:val="32"/>
        </w:rPr>
        <w:t>（一）机关运行经费支出情况</w:t>
      </w:r>
      <w:bookmarkEnd w:id="95"/>
      <w:bookmarkEnd w:id="96"/>
      <w:bookmarkEnd w:id="97"/>
      <w:bookmarkEnd w:id="98"/>
      <w:bookmarkEnd w:id="99"/>
      <w:bookmarkEnd w:id="100"/>
    </w:p>
    <w:p w14:paraId="3FBFEF88">
      <w:pPr>
        <w:spacing w:line="576" w:lineRule="exact"/>
        <w:ind w:firstLine="640" w:firstLineChars="200"/>
        <w:rPr>
          <w:rFonts w:ascii="仿宋_GB2312" w:hAnsi="ˎ̥" w:eastAsia="仿宋_GB2312"/>
          <w:sz w:val="32"/>
          <w:szCs w:val="32"/>
        </w:rPr>
      </w:pPr>
      <w:r>
        <w:rPr>
          <w:rFonts w:ascii="仿宋_GB2312" w:hAnsi="ˎ̥" w:eastAsia="仿宋_GB2312"/>
          <w:sz w:val="32"/>
          <w:szCs w:val="32"/>
        </w:rPr>
        <w:t>2024</w:t>
      </w:r>
      <w:r>
        <w:rPr>
          <w:rFonts w:hint="eastAsia" w:ascii="仿宋_GB2312" w:hAnsi="ˎ̥" w:eastAsia="仿宋_GB2312"/>
          <w:sz w:val="32"/>
          <w:szCs w:val="32"/>
        </w:rPr>
        <w:t>年度政协林芝市巴宜区委员会办公室机关运行经费37.26万元（为部门决算中行政单位和参公事业单位财政拨款基本支出中公用经费支出之和，事业单位没有机关运行经费支出），比年初预算减少3.87万元，完成预算的89.93%；与2023年度相比，机关运行经费增加2.89万元，增长8.41%。主要原因是：工会经费支出增加。</w:t>
      </w:r>
    </w:p>
    <w:p w14:paraId="4FBF4E95">
      <w:pPr>
        <w:spacing w:line="576" w:lineRule="exact"/>
        <w:ind w:firstLine="640" w:firstLineChars="200"/>
        <w:rPr>
          <w:rFonts w:ascii="楷体" w:hAnsi="楷体" w:eastAsia="楷体" w:cs="楷体"/>
          <w:bCs/>
          <w:sz w:val="32"/>
          <w:szCs w:val="32"/>
        </w:rPr>
      </w:pPr>
      <w:bookmarkStart w:id="101" w:name="_Toc25333_WPSOffice_Level2"/>
      <w:bookmarkStart w:id="102" w:name="_Toc23966_WPSOffice_Level2"/>
      <w:bookmarkStart w:id="103" w:name="_Toc30383_WPSOffice_Level2"/>
      <w:bookmarkStart w:id="104" w:name="_Toc32689_WPSOffice_Level2"/>
      <w:bookmarkStart w:id="105" w:name="_Toc3131_WPSOffice_Level2"/>
      <w:bookmarkStart w:id="106" w:name="_Toc13084_WPSOffice_Level2"/>
      <w:r>
        <w:rPr>
          <w:rFonts w:hint="eastAsia" w:ascii="楷体" w:hAnsi="楷体" w:eastAsia="楷体" w:cs="楷体"/>
          <w:bCs/>
          <w:sz w:val="32"/>
          <w:szCs w:val="32"/>
        </w:rPr>
        <w:t>（二）政府采购支出情况</w:t>
      </w:r>
      <w:bookmarkEnd w:id="101"/>
      <w:bookmarkEnd w:id="102"/>
      <w:bookmarkEnd w:id="103"/>
      <w:bookmarkEnd w:id="104"/>
      <w:bookmarkEnd w:id="105"/>
      <w:bookmarkEnd w:id="106"/>
    </w:p>
    <w:p w14:paraId="27B5C5FC">
      <w:pPr>
        <w:spacing w:line="576" w:lineRule="exact"/>
        <w:ind w:firstLine="640" w:firstLineChars="200"/>
        <w:rPr>
          <w:rFonts w:ascii="仿宋_GB2312" w:hAnsi="ˎ̥" w:eastAsia="仿宋_GB2312"/>
          <w:sz w:val="32"/>
          <w:szCs w:val="32"/>
        </w:rPr>
      </w:pPr>
      <w:r>
        <w:rPr>
          <w:rFonts w:ascii="仿宋_GB2312" w:hAnsi="ˎ̥" w:eastAsia="仿宋_GB2312"/>
          <w:sz w:val="32"/>
          <w:szCs w:val="32"/>
        </w:rPr>
        <w:t>2024</w:t>
      </w:r>
      <w:r>
        <w:rPr>
          <w:rFonts w:hint="eastAsia" w:ascii="仿宋_GB2312" w:hAnsi="ˎ̥" w:eastAsia="仿宋_GB2312"/>
          <w:sz w:val="32"/>
          <w:szCs w:val="32"/>
        </w:rPr>
        <w:t>年度政协林芝市巴宜区委员会办公室政府采购支出总额0万元。</w:t>
      </w:r>
    </w:p>
    <w:p w14:paraId="6EE63469">
      <w:pPr>
        <w:spacing w:line="576" w:lineRule="exact"/>
        <w:ind w:firstLine="640" w:firstLineChars="200"/>
        <w:rPr>
          <w:rFonts w:ascii="楷体" w:hAnsi="楷体" w:eastAsia="楷体" w:cs="楷体"/>
          <w:bCs/>
          <w:sz w:val="32"/>
          <w:szCs w:val="32"/>
        </w:rPr>
      </w:pPr>
      <w:bookmarkStart w:id="107" w:name="_Toc10902_WPSOffice_Level2"/>
      <w:bookmarkStart w:id="108" w:name="_Toc527_WPSOffice_Level2"/>
      <w:bookmarkStart w:id="109" w:name="_Toc29584_WPSOffice_Level2"/>
      <w:bookmarkStart w:id="110" w:name="_Toc15129_WPSOffice_Level2"/>
      <w:bookmarkStart w:id="111" w:name="_Toc19989_WPSOffice_Level2"/>
      <w:bookmarkStart w:id="112" w:name="_Toc6016_WPSOffice_Level2"/>
      <w:r>
        <w:rPr>
          <w:rFonts w:hint="eastAsia" w:ascii="楷体" w:hAnsi="楷体" w:eastAsia="楷体" w:cs="楷体"/>
          <w:bCs/>
          <w:sz w:val="32"/>
          <w:szCs w:val="32"/>
        </w:rPr>
        <w:t>（三）国有资产占用情况</w:t>
      </w:r>
      <w:bookmarkEnd w:id="107"/>
      <w:bookmarkEnd w:id="108"/>
      <w:bookmarkEnd w:id="109"/>
      <w:bookmarkEnd w:id="110"/>
      <w:bookmarkEnd w:id="111"/>
      <w:bookmarkEnd w:id="112"/>
    </w:p>
    <w:p w14:paraId="1E3DD2D8">
      <w:pPr>
        <w:spacing w:line="576" w:lineRule="exact"/>
        <w:ind w:firstLine="640" w:firstLineChars="200"/>
        <w:rPr>
          <w:rFonts w:ascii="仿宋_GB2312" w:hAnsi="ˎ̥" w:eastAsia="仿宋_GB2312"/>
          <w:sz w:val="32"/>
          <w:szCs w:val="32"/>
        </w:rPr>
      </w:pPr>
      <w:r>
        <w:rPr>
          <w:rFonts w:hint="eastAsia" w:ascii="仿宋_GB2312" w:hAnsi="ˎ̥" w:eastAsia="仿宋_GB2312"/>
          <w:bCs/>
          <w:sz w:val="32"/>
          <w:szCs w:val="32"/>
        </w:rPr>
        <w:t>截至</w:t>
      </w:r>
      <w:r>
        <w:rPr>
          <w:rFonts w:ascii="仿宋_GB2312" w:hAnsi="ˎ̥" w:eastAsia="仿宋_GB2312"/>
          <w:bCs/>
          <w:sz w:val="32"/>
          <w:szCs w:val="32"/>
        </w:rPr>
        <w:t>2024</w:t>
      </w:r>
      <w:r>
        <w:rPr>
          <w:rFonts w:hint="eastAsia" w:ascii="仿宋_GB2312" w:hAnsi="ˎ̥" w:eastAsia="仿宋_GB2312"/>
          <w:bCs/>
          <w:sz w:val="32"/>
          <w:szCs w:val="32"/>
        </w:rPr>
        <w:t>年12月31日，本部门拥有</w:t>
      </w:r>
      <w:r>
        <w:rPr>
          <w:rFonts w:hint="eastAsia" w:ascii="仿宋_GB2312" w:hAnsi="ˎ̥" w:eastAsia="仿宋_GB2312"/>
          <w:sz w:val="32"/>
          <w:szCs w:val="32"/>
        </w:rPr>
        <w:t>房屋面积0平方米。</w:t>
      </w:r>
    </w:p>
    <w:p w14:paraId="682EBA10">
      <w:pPr>
        <w:spacing w:line="576" w:lineRule="exact"/>
        <w:rPr>
          <w:rFonts w:ascii="仿宋_GB2312" w:hAnsi="ˎ̥" w:eastAsia="仿宋_GB2312"/>
          <w:sz w:val="32"/>
          <w:szCs w:val="32"/>
        </w:rPr>
      </w:pPr>
      <w:r>
        <w:rPr>
          <w:rFonts w:hint="eastAsia" w:ascii="仿宋_GB2312" w:hAnsi="ˎ̥" w:eastAsia="仿宋_GB2312"/>
          <w:sz w:val="32"/>
          <w:szCs w:val="32"/>
        </w:rPr>
        <w:t>本部门共有车辆0辆。</w:t>
      </w:r>
    </w:p>
    <w:p w14:paraId="537FC311">
      <w:pPr>
        <w:spacing w:line="576" w:lineRule="exact"/>
        <w:ind w:firstLine="640" w:firstLineChars="200"/>
        <w:rPr>
          <w:rFonts w:ascii="仿宋_GB2312" w:hAnsi="ˎ̥" w:eastAsia="仿宋_GB2312"/>
          <w:sz w:val="32"/>
          <w:szCs w:val="32"/>
        </w:rPr>
      </w:pPr>
      <w:r>
        <w:rPr>
          <w:rFonts w:hint="eastAsia" w:ascii="仿宋_GB2312" w:hAnsi="ˎ̥" w:eastAsia="仿宋_GB2312"/>
          <w:sz w:val="32"/>
          <w:szCs w:val="32"/>
        </w:rPr>
        <w:t>单价100万元（含）以上设备（不含车辆）0台（套）。</w:t>
      </w:r>
    </w:p>
    <w:p w14:paraId="349872A0">
      <w:pPr>
        <w:spacing w:line="576" w:lineRule="exact"/>
        <w:jc w:val="center"/>
        <w:rPr>
          <w:rFonts w:ascii="黑体" w:hAnsi="ˎ̥" w:eastAsia="黑体"/>
          <w:sz w:val="32"/>
          <w:szCs w:val="32"/>
        </w:rPr>
      </w:pPr>
      <w:bookmarkStart w:id="113" w:name="_Toc8874_WPSOffice_Level1"/>
      <w:bookmarkStart w:id="114" w:name="_Toc11039_WPSOffice_Level1"/>
      <w:bookmarkStart w:id="115" w:name="_Toc4398_WPSOffice_Level1"/>
      <w:bookmarkStart w:id="116" w:name="_Toc17580_WPSOffice_Level1"/>
      <w:bookmarkStart w:id="117" w:name="_Toc15425_WPSOffice_Level1"/>
      <w:bookmarkStart w:id="118" w:name="_Toc8808_WPSOffice_Level1"/>
      <w:r>
        <w:rPr>
          <w:rFonts w:hint="eastAsia" w:ascii="黑体" w:hAnsi="ˎ̥" w:eastAsia="黑体"/>
          <w:sz w:val="32"/>
          <w:szCs w:val="32"/>
        </w:rPr>
        <w:t>第四部分  名词解释</w:t>
      </w:r>
      <w:bookmarkEnd w:id="113"/>
      <w:bookmarkEnd w:id="114"/>
      <w:bookmarkEnd w:id="115"/>
      <w:bookmarkEnd w:id="116"/>
      <w:bookmarkEnd w:id="117"/>
      <w:bookmarkEnd w:id="118"/>
    </w:p>
    <w:p w14:paraId="7983F79B">
      <w:pPr>
        <w:numPr>
          <w:ilvl w:val="0"/>
          <w:numId w:val="3"/>
        </w:numPr>
        <w:spacing w:line="576" w:lineRule="exact"/>
        <w:ind w:firstLine="640" w:firstLineChars="200"/>
        <w:rPr>
          <w:rFonts w:ascii="仿宋_GB2312" w:hAnsi="ˎ̥" w:eastAsia="仿宋_GB2312"/>
          <w:sz w:val="32"/>
          <w:szCs w:val="32"/>
        </w:rPr>
      </w:pPr>
      <w:r>
        <w:rPr>
          <w:rFonts w:hint="eastAsia" w:ascii="仿宋_GB2312" w:hAnsi="ˎ̥" w:eastAsia="仿宋_GB2312"/>
          <w:sz w:val="32"/>
          <w:szCs w:val="32"/>
        </w:rPr>
        <w:t>财政拨款收入：指同级政府财政部门当年拨付的各类财政拨款。</w:t>
      </w:r>
    </w:p>
    <w:p w14:paraId="2B6D66CF">
      <w:pPr>
        <w:spacing w:line="576" w:lineRule="exact"/>
        <w:ind w:firstLine="640" w:firstLineChars="200"/>
        <w:rPr>
          <w:rFonts w:ascii="仿宋_GB2312" w:hAnsi="ˎ̥" w:eastAsia="仿宋_GB2312"/>
          <w:sz w:val="32"/>
          <w:szCs w:val="32"/>
        </w:rPr>
      </w:pPr>
      <w:r>
        <w:rPr>
          <w:rFonts w:hint="eastAsia" w:ascii="仿宋_GB2312" w:hAnsi="ˎ̥" w:eastAsia="仿宋_GB2312"/>
          <w:sz w:val="32"/>
          <w:szCs w:val="32"/>
        </w:rPr>
        <w:t>二、上级补助收入：指事业单位从主管部门和上级单位取得的非财政补助收入。</w:t>
      </w:r>
    </w:p>
    <w:p w14:paraId="1E25BD09">
      <w:pPr>
        <w:spacing w:line="576" w:lineRule="exact"/>
        <w:ind w:firstLine="640" w:firstLineChars="200"/>
        <w:rPr>
          <w:rFonts w:ascii="仿宋_GB2312" w:hAnsi="ˎ̥" w:eastAsia="仿宋_GB2312"/>
          <w:sz w:val="32"/>
          <w:szCs w:val="32"/>
        </w:rPr>
      </w:pPr>
      <w:r>
        <w:rPr>
          <w:rFonts w:hint="eastAsia" w:ascii="仿宋_GB2312" w:hAnsi="ˎ̥" w:eastAsia="仿宋_GB2312"/>
          <w:sz w:val="32"/>
          <w:szCs w:val="32"/>
        </w:rPr>
        <w:t>三、事业收入：指事业单位开展专业业务活动及辅助活动取得的收入。</w:t>
      </w:r>
    </w:p>
    <w:p w14:paraId="7F680084">
      <w:pPr>
        <w:spacing w:line="576" w:lineRule="exact"/>
        <w:ind w:firstLine="640" w:firstLineChars="200"/>
        <w:rPr>
          <w:rFonts w:ascii="仿宋_GB2312" w:hAnsi="ˎ̥" w:eastAsia="仿宋_GB2312"/>
          <w:sz w:val="32"/>
          <w:szCs w:val="32"/>
        </w:rPr>
      </w:pPr>
      <w:r>
        <w:rPr>
          <w:rFonts w:hint="eastAsia" w:ascii="仿宋_GB2312" w:hAnsi="ˎ̥" w:eastAsia="仿宋_GB2312"/>
          <w:sz w:val="32"/>
          <w:szCs w:val="32"/>
        </w:rPr>
        <w:t>四、经营收入：指事业单位在专业业务活动及其辅助活动之外开展非独立核算经营活动取得的收入。</w:t>
      </w:r>
    </w:p>
    <w:p w14:paraId="6236986A">
      <w:pPr>
        <w:spacing w:line="576" w:lineRule="exact"/>
        <w:ind w:firstLine="640" w:firstLineChars="200"/>
        <w:rPr>
          <w:rFonts w:ascii="仿宋_GB2312" w:hAnsi="ˎ̥" w:eastAsia="仿宋_GB2312"/>
          <w:sz w:val="32"/>
          <w:szCs w:val="32"/>
        </w:rPr>
      </w:pPr>
      <w:r>
        <w:rPr>
          <w:rFonts w:hint="eastAsia" w:ascii="仿宋_GB2312" w:hAnsi="ˎ̥" w:eastAsia="仿宋_GB2312"/>
          <w:sz w:val="32"/>
          <w:szCs w:val="32"/>
        </w:rPr>
        <w:t>五、附属单位上缴收入：指事业单位取得附属独立核算单位根据有关规定上缴的收入。</w:t>
      </w:r>
    </w:p>
    <w:p w14:paraId="5D6FA083">
      <w:pPr>
        <w:spacing w:line="576" w:lineRule="exact"/>
        <w:ind w:firstLine="640" w:firstLineChars="200"/>
        <w:rPr>
          <w:rFonts w:ascii="仿宋_GB2312" w:hAnsi="ˎ̥" w:eastAsia="仿宋_GB2312"/>
          <w:sz w:val="32"/>
          <w:szCs w:val="32"/>
        </w:rPr>
      </w:pPr>
      <w:r>
        <w:rPr>
          <w:rFonts w:hint="eastAsia" w:ascii="仿宋_GB2312" w:hAnsi="ˎ̥" w:eastAsia="仿宋_GB2312"/>
          <w:sz w:val="32"/>
          <w:szCs w:val="32"/>
        </w:rPr>
        <w:t>六、其他收入：指除上述“财政拨款收入”“事业收入”“上级补助收入”“经营收入”“附属单位上缴收入”等以外的收入。</w:t>
      </w:r>
    </w:p>
    <w:p w14:paraId="1F53DBB1">
      <w:pPr>
        <w:spacing w:line="576" w:lineRule="exact"/>
        <w:ind w:firstLine="640" w:firstLineChars="200"/>
        <w:rPr>
          <w:rFonts w:ascii="仿宋_GB2312" w:hAnsi="ˎ̥" w:eastAsia="仿宋_GB2312"/>
          <w:sz w:val="32"/>
          <w:szCs w:val="32"/>
        </w:rPr>
      </w:pPr>
      <w:r>
        <w:rPr>
          <w:rFonts w:hint="eastAsia" w:ascii="仿宋_GB2312" w:hAnsi="ˎ̥" w:eastAsia="仿宋_GB2312"/>
          <w:sz w:val="32"/>
          <w:szCs w:val="32"/>
        </w:rPr>
        <w:t>七、使用非财政拨款结余：指事业单位在当年的“财政拨款收入”“事业收入”“经营收入”“其他收入”等不足以安排当年支出的情况下，使用非同级财政拨款结余资金弥补本年度收支缺口。</w:t>
      </w:r>
    </w:p>
    <w:p w14:paraId="08544F6D">
      <w:pPr>
        <w:spacing w:line="576" w:lineRule="exact"/>
        <w:ind w:firstLine="640" w:firstLineChars="200"/>
        <w:rPr>
          <w:rFonts w:ascii="仿宋_GB2312" w:hAnsi="ˎ̥" w:eastAsia="仿宋_GB2312"/>
          <w:sz w:val="32"/>
          <w:szCs w:val="32"/>
        </w:rPr>
      </w:pPr>
      <w:r>
        <w:rPr>
          <w:rFonts w:hint="eastAsia" w:ascii="仿宋_GB2312" w:hAnsi="ˎ̥" w:eastAsia="仿宋_GB2312"/>
          <w:sz w:val="32"/>
          <w:szCs w:val="32"/>
        </w:rPr>
        <w:t>八、年初结转和结余：指以前年度尚未完成、结转到本年按有关规定继续使用的资金，或项目已完成等产生的结余资金。</w:t>
      </w:r>
    </w:p>
    <w:p w14:paraId="07688BB1">
      <w:pPr>
        <w:spacing w:line="576" w:lineRule="exact"/>
        <w:ind w:firstLine="640" w:firstLineChars="200"/>
        <w:rPr>
          <w:rFonts w:ascii="仿宋_GB2312" w:hAnsi="ˎ̥" w:eastAsia="仿宋_GB2312"/>
          <w:sz w:val="32"/>
          <w:szCs w:val="32"/>
        </w:rPr>
      </w:pPr>
      <w:r>
        <w:rPr>
          <w:rFonts w:hint="eastAsia" w:ascii="仿宋_GB2312" w:hAnsi="ˎ̥" w:eastAsia="仿宋_GB2312"/>
          <w:sz w:val="32"/>
          <w:szCs w:val="32"/>
        </w:rPr>
        <w:t>九、结余分配：指事业单位缴纳企业所得税以及从非财政拨款结余或经营结余中提取各类结余的情况。</w:t>
      </w:r>
    </w:p>
    <w:p w14:paraId="2CE257DB">
      <w:pPr>
        <w:spacing w:line="576" w:lineRule="exact"/>
        <w:ind w:firstLine="640" w:firstLineChars="200"/>
        <w:rPr>
          <w:rFonts w:ascii="仿宋_GB2312" w:hAnsi="ˎ̥" w:eastAsia="仿宋_GB2312"/>
          <w:sz w:val="32"/>
          <w:szCs w:val="32"/>
        </w:rPr>
      </w:pPr>
      <w:r>
        <w:rPr>
          <w:rFonts w:hint="eastAsia" w:ascii="仿宋_GB2312" w:hAnsi="ˎ̥" w:eastAsia="仿宋_GB2312"/>
          <w:sz w:val="32"/>
          <w:szCs w:val="32"/>
        </w:rPr>
        <w:t>十、年末结转和结余：指本年度或以前年度预算安排、因客观条件发生变化无法按原计划实施，需要延迟到以后年度按有关规定继续使用的资金（不包括事业单位非财政拨款结余和专用结余）。</w:t>
      </w:r>
    </w:p>
    <w:p w14:paraId="5D26F68D">
      <w:pPr>
        <w:spacing w:line="576" w:lineRule="exact"/>
        <w:ind w:firstLine="640" w:firstLineChars="200"/>
        <w:rPr>
          <w:rFonts w:ascii="仿宋_GB2312" w:hAnsi="ˎ̥" w:eastAsia="仿宋_GB2312"/>
          <w:sz w:val="32"/>
          <w:szCs w:val="32"/>
        </w:rPr>
      </w:pPr>
      <w:r>
        <w:rPr>
          <w:rFonts w:hint="eastAsia" w:ascii="仿宋_GB2312" w:hAnsi="ˎ̥" w:eastAsia="仿宋_GB2312"/>
          <w:sz w:val="32"/>
          <w:szCs w:val="32"/>
        </w:rPr>
        <w:t>十一、基本支出：指为保障机构正常运转、完成日常工作任务而发生的人员支出和公用支出。</w:t>
      </w:r>
    </w:p>
    <w:p w14:paraId="550120E7">
      <w:pPr>
        <w:spacing w:line="576" w:lineRule="exact"/>
        <w:ind w:firstLine="640" w:firstLineChars="200"/>
        <w:rPr>
          <w:rFonts w:ascii="仿宋_GB2312" w:hAnsi="ˎ̥" w:eastAsia="仿宋_GB2312"/>
          <w:sz w:val="32"/>
          <w:szCs w:val="32"/>
        </w:rPr>
      </w:pPr>
      <w:r>
        <w:rPr>
          <w:rFonts w:hint="eastAsia" w:ascii="仿宋_GB2312" w:hAnsi="ˎ̥" w:eastAsia="仿宋_GB2312"/>
          <w:sz w:val="32"/>
          <w:szCs w:val="32"/>
        </w:rPr>
        <w:t>十二、项目支出：指在基本支出之外为完成特定行政任务和事业发展目标所发生的支出。</w:t>
      </w:r>
    </w:p>
    <w:p w14:paraId="2A9076C1">
      <w:pPr>
        <w:spacing w:line="576" w:lineRule="exact"/>
        <w:ind w:firstLine="640" w:firstLineChars="200"/>
        <w:rPr>
          <w:rFonts w:ascii="仿宋_GB2312" w:hAnsi="ˎ̥" w:eastAsia="仿宋_GB2312"/>
          <w:sz w:val="32"/>
          <w:szCs w:val="32"/>
        </w:rPr>
      </w:pPr>
      <w:r>
        <w:rPr>
          <w:rFonts w:hint="eastAsia" w:ascii="仿宋_GB2312" w:hAnsi="ˎ̥" w:eastAsia="仿宋_GB2312"/>
          <w:sz w:val="32"/>
          <w:szCs w:val="32"/>
        </w:rPr>
        <w:t>十三、经营支出：指事业单位在专业业务活动及其辅助活动之外开展非独立核算经营活动发生的支出。</w:t>
      </w:r>
    </w:p>
    <w:p w14:paraId="3299EEDF">
      <w:pPr>
        <w:spacing w:line="576" w:lineRule="exact"/>
        <w:ind w:firstLine="640" w:firstLineChars="200"/>
        <w:rPr>
          <w:rFonts w:ascii="仿宋_GB2312" w:hAnsi="ˎ̥" w:eastAsia="仿宋_GB2312"/>
          <w:sz w:val="32"/>
          <w:szCs w:val="32"/>
        </w:rPr>
      </w:pPr>
      <w:r>
        <w:rPr>
          <w:rFonts w:hint="eastAsia" w:ascii="仿宋_GB2312" w:hAnsi="ˎ̥" w:eastAsia="仿宋_GB2312"/>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14:paraId="3CA2B719">
      <w:pPr>
        <w:spacing w:line="576" w:lineRule="exact"/>
        <w:ind w:firstLine="645"/>
        <w:rPr>
          <w:rFonts w:ascii="仿宋_GB2312" w:hAnsi="ˎ̥" w:eastAsia="仿宋_GB2312"/>
          <w:sz w:val="32"/>
          <w:szCs w:val="32"/>
        </w:rPr>
      </w:pPr>
      <w:r>
        <w:rPr>
          <w:rFonts w:hint="eastAsia" w:ascii="仿宋_GB2312" w:hAnsi="ˎ̥" w:eastAsia="仿宋_GB2312"/>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14:paraId="2DCF468F">
      <w:pPr>
        <w:spacing w:line="576" w:lineRule="exact"/>
        <w:ind w:firstLine="645"/>
        <w:rPr>
          <w:rFonts w:ascii="仿宋_GB2312" w:hAnsi="ˎ̥" w:eastAsia="仿宋_GB2312"/>
          <w:sz w:val="32"/>
          <w:szCs w:val="32"/>
        </w:rPr>
      </w:pPr>
      <w:r>
        <w:rPr>
          <w:rFonts w:hint="eastAsia" w:ascii="仿宋_GB2312" w:hAnsi="ˎ̥" w:eastAsia="仿宋_GB2312"/>
          <w:sz w:val="32"/>
          <w:szCs w:val="32"/>
        </w:rPr>
        <w:t>十六、</w:t>
      </w:r>
      <w:r>
        <w:rPr>
          <w:rFonts w:ascii="仿宋_GB2312" w:hAnsi="ˎ̥" w:eastAsia="仿宋_GB2312"/>
          <w:sz w:val="32"/>
          <w:szCs w:val="32"/>
        </w:rPr>
        <w:t>支出功能分类：</w:t>
      </w:r>
    </w:p>
    <w:p w14:paraId="5A1F970E">
      <w:pPr>
        <w:spacing w:line="576" w:lineRule="exact"/>
        <w:ind w:firstLine="645"/>
        <w:rPr>
          <w:rFonts w:ascii="仿宋_GB2312" w:hAnsi="ˎ̥" w:eastAsia="仿宋_GB2312"/>
          <w:sz w:val="32"/>
          <w:szCs w:val="32"/>
        </w:rPr>
      </w:pPr>
      <w:r>
        <w:rPr>
          <w:rFonts w:hint="eastAsia" w:ascii="仿宋_GB2312" w:hAnsi="ˎ̥" w:eastAsia="仿宋_GB2312"/>
          <w:sz w:val="32"/>
          <w:szCs w:val="32"/>
        </w:rPr>
        <w:t>一般公共服务（类）政协事务（款）行政运行（项），反映行政单位（包括实行公务员管理的事业单位）的基本支出。</w:t>
      </w:r>
    </w:p>
    <w:p w14:paraId="5D09C62E">
      <w:pPr>
        <w:spacing w:line="576" w:lineRule="exact"/>
        <w:ind w:firstLine="645"/>
        <w:rPr>
          <w:rFonts w:ascii="仿宋_GB2312" w:hAnsi="ˎ̥" w:eastAsia="仿宋_GB2312"/>
          <w:sz w:val="32"/>
          <w:szCs w:val="32"/>
        </w:rPr>
      </w:pPr>
      <w:r>
        <w:rPr>
          <w:rFonts w:hint="eastAsia" w:ascii="仿宋_GB2312" w:hAnsi="ˎ̥" w:eastAsia="仿宋_GB2312"/>
          <w:sz w:val="32"/>
          <w:szCs w:val="32"/>
        </w:rPr>
        <w:t>一般公共服务（类）政协事务（款）政协会议（项），反映各级政协召开政治协商会议等专门会议的支出。</w:t>
      </w:r>
    </w:p>
    <w:p w14:paraId="681BC9FD">
      <w:pPr>
        <w:spacing w:line="576" w:lineRule="exact"/>
        <w:ind w:firstLine="645"/>
        <w:rPr>
          <w:rFonts w:ascii="仿宋_GB2312" w:hAnsi="ˎ̥" w:eastAsia="仿宋_GB2312"/>
          <w:sz w:val="32"/>
          <w:szCs w:val="32"/>
        </w:rPr>
      </w:pPr>
      <w:r>
        <w:rPr>
          <w:rFonts w:hint="eastAsia" w:ascii="仿宋_GB2312" w:hAnsi="ˎ̥" w:eastAsia="仿宋_GB2312"/>
          <w:sz w:val="32"/>
          <w:szCs w:val="32"/>
        </w:rPr>
        <w:t>一般公共服务（类）政协事务（款）委员视察（项），反映政协委员开展各类视察支出。</w:t>
      </w:r>
    </w:p>
    <w:p w14:paraId="1B934B42">
      <w:pPr>
        <w:spacing w:line="576" w:lineRule="exact"/>
        <w:ind w:firstLine="645"/>
        <w:rPr>
          <w:rFonts w:hint="eastAsia" w:ascii="仿宋_GB2312" w:hAnsi="ˎ̥" w:eastAsia="仿宋_GB2312"/>
          <w:bCs/>
          <w:sz w:val="32"/>
          <w:szCs w:val="32"/>
        </w:rPr>
      </w:pPr>
      <w:r>
        <w:rPr>
          <w:rFonts w:hint="eastAsia" w:ascii="仿宋_GB2312" w:hAnsi="ˎ̥" w:eastAsia="仿宋_GB2312"/>
          <w:bCs/>
          <w:sz w:val="32"/>
          <w:szCs w:val="32"/>
        </w:rPr>
        <w:t>一般公共服务（类）政协事务（款）参政议政（项），反映政协为参政议政进行调研、检查等方面的支出。</w:t>
      </w:r>
    </w:p>
    <w:p w14:paraId="01A70CAC">
      <w:pPr>
        <w:spacing w:line="576" w:lineRule="exact"/>
        <w:rPr>
          <w:rFonts w:hint="eastAsia" w:ascii="仿宋_GB2312" w:hAnsi="ˎ̥" w:eastAsia="仿宋_GB2312"/>
          <w:bCs/>
          <w:sz w:val="32"/>
          <w:szCs w:val="32"/>
        </w:rPr>
      </w:pPr>
      <w:r>
        <w:rPr>
          <w:rFonts w:hint="eastAsia" w:ascii="仿宋_GB2312" w:hAnsi="ˎ̥" w:eastAsia="仿宋_GB2312"/>
          <w:bCs/>
          <w:sz w:val="32"/>
          <w:szCs w:val="32"/>
        </w:rPr>
        <w:t>附件：2024年度部门决算公开表；</w:t>
      </w:r>
    </w:p>
    <w:p w14:paraId="6721D6A7">
      <w:pPr>
        <w:spacing w:line="576" w:lineRule="exact"/>
        <w:rPr>
          <w:rFonts w:hint="eastAsia"/>
        </w:rPr>
      </w:pPr>
      <w:r>
        <w:rPr>
          <w:rFonts w:hint="eastAsia" w:ascii="仿宋_GB2312" w:hAnsi="ˎ̥" w:eastAsia="仿宋_GB2312"/>
          <w:bCs/>
          <w:sz w:val="32"/>
          <w:szCs w:val="32"/>
        </w:rPr>
        <w:t xml:space="preserve">      政协办绩效自评报告。</w:t>
      </w:r>
    </w:p>
    <w:sectPr>
      <w:footerReference r:id="rId3" w:type="default"/>
      <w:footerReference r:id="rId4" w:type="even"/>
      <w:pgSz w:w="11906" w:h="16838"/>
      <w:pgMar w:top="2098" w:right="1474" w:bottom="1985"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04D7E">
    <w:pPr>
      <w:pStyle w:val="4"/>
      <w:framePr w:wrap="around" w:vAnchor="text" w:hAnchor="margin" w:xAlign="center" w:y="1"/>
      <w:rPr>
        <w:rStyle w:val="9"/>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- 13 -</w:t>
    </w:r>
    <w:r>
      <w:rPr>
        <w:rFonts w:asciiTheme="minorEastAsia" w:hAnsiTheme="minorEastAsia" w:eastAsiaTheme="minorEastAsia"/>
        <w:sz w:val="28"/>
        <w:szCs w:val="28"/>
      </w:rPr>
      <w:fldChar w:fldCharType="end"/>
    </w:r>
  </w:p>
  <w:p w14:paraId="1FBA8236">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AB52F">
    <w:pPr>
      <w:pStyle w:val="4"/>
      <w:framePr w:wrap="around" w:vAnchor="text" w:hAnchor="margin" w:xAlign="center" w:y="1"/>
      <w:rPr>
        <w:rStyle w:val="9"/>
      </w:rPr>
    </w:pPr>
    <w:r>
      <w:fldChar w:fldCharType="begin"/>
    </w:r>
    <w:r>
      <w:rPr>
        <w:rStyle w:val="9"/>
      </w:rPr>
      <w:instrText xml:space="preserve">PAGE  </w:instrText>
    </w:r>
    <w:r>
      <w:fldChar w:fldCharType="end"/>
    </w:r>
  </w:p>
  <w:p w14:paraId="3D9D9192">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2CD8C86C"/>
    <w:multiLevelType w:val="singleLevel"/>
    <w:tmpl w:val="2CD8C86C"/>
    <w:lvl w:ilvl="0" w:tentative="0">
      <w:start w:val="3"/>
      <w:numFmt w:val="chineseCounting"/>
      <w:suff w:val="nothing"/>
      <w:lvlText w:val="（%1）"/>
      <w:lvlJc w:val="left"/>
      <w:rPr>
        <w:rFonts w:hint="eastAsia"/>
      </w:rPr>
    </w:lvl>
  </w:abstractNum>
  <w:abstractNum w:abstractNumId="2">
    <w:nsid w:val="72109F8D"/>
    <w:multiLevelType w:val="singleLevel"/>
    <w:tmpl w:val="72109F8D"/>
    <w:lvl w:ilvl="0" w:tentative="0">
      <w:start w:val="7"/>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IyYmQyMmZjMDMyMjkwZDc4NDliMDgyYzNmZmI0OTgifQ=="/>
  </w:docVars>
  <w:rsids>
    <w:rsidRoot w:val="A7F73C99"/>
    <w:rsid w:val="00002699"/>
    <w:rsid w:val="00002A94"/>
    <w:rsid w:val="000044F5"/>
    <w:rsid w:val="00005EFC"/>
    <w:rsid w:val="00064A91"/>
    <w:rsid w:val="000718C4"/>
    <w:rsid w:val="000779B0"/>
    <w:rsid w:val="000A1AD1"/>
    <w:rsid w:val="0015641B"/>
    <w:rsid w:val="00165456"/>
    <w:rsid w:val="00190354"/>
    <w:rsid w:val="001A7FC5"/>
    <w:rsid w:val="001E4E23"/>
    <w:rsid w:val="001E510D"/>
    <w:rsid w:val="001F28C1"/>
    <w:rsid w:val="001F4EC0"/>
    <w:rsid w:val="00213789"/>
    <w:rsid w:val="00280C04"/>
    <w:rsid w:val="0029353D"/>
    <w:rsid w:val="002A628D"/>
    <w:rsid w:val="002A6E07"/>
    <w:rsid w:val="002F5C05"/>
    <w:rsid w:val="002F6914"/>
    <w:rsid w:val="003169AC"/>
    <w:rsid w:val="0034456B"/>
    <w:rsid w:val="003446C8"/>
    <w:rsid w:val="00397EC7"/>
    <w:rsid w:val="003D2F77"/>
    <w:rsid w:val="00404B94"/>
    <w:rsid w:val="004616E5"/>
    <w:rsid w:val="004A5B2B"/>
    <w:rsid w:val="004B1B1A"/>
    <w:rsid w:val="004C755C"/>
    <w:rsid w:val="004D515A"/>
    <w:rsid w:val="004D5572"/>
    <w:rsid w:val="0050273F"/>
    <w:rsid w:val="00513897"/>
    <w:rsid w:val="00530C81"/>
    <w:rsid w:val="00533869"/>
    <w:rsid w:val="005B43C1"/>
    <w:rsid w:val="005C43A2"/>
    <w:rsid w:val="005D6CEE"/>
    <w:rsid w:val="005E64FB"/>
    <w:rsid w:val="005E6AC6"/>
    <w:rsid w:val="005F5987"/>
    <w:rsid w:val="00602EED"/>
    <w:rsid w:val="00665BAD"/>
    <w:rsid w:val="006B0D64"/>
    <w:rsid w:val="006B518F"/>
    <w:rsid w:val="006D1EF1"/>
    <w:rsid w:val="00731FC7"/>
    <w:rsid w:val="00740E64"/>
    <w:rsid w:val="00754F6E"/>
    <w:rsid w:val="007A4101"/>
    <w:rsid w:val="0080612D"/>
    <w:rsid w:val="008232A9"/>
    <w:rsid w:val="008541F4"/>
    <w:rsid w:val="0087311F"/>
    <w:rsid w:val="00896ADB"/>
    <w:rsid w:val="00916F77"/>
    <w:rsid w:val="00921008"/>
    <w:rsid w:val="009A2744"/>
    <w:rsid w:val="009B4573"/>
    <w:rsid w:val="009E315E"/>
    <w:rsid w:val="00A02364"/>
    <w:rsid w:val="00A230B9"/>
    <w:rsid w:val="00A54A37"/>
    <w:rsid w:val="00A70448"/>
    <w:rsid w:val="00A97A5D"/>
    <w:rsid w:val="00AA19F3"/>
    <w:rsid w:val="00AA46E8"/>
    <w:rsid w:val="00AC28EE"/>
    <w:rsid w:val="00AC3F0E"/>
    <w:rsid w:val="00B318A2"/>
    <w:rsid w:val="00B36E61"/>
    <w:rsid w:val="00B409FF"/>
    <w:rsid w:val="00B4133E"/>
    <w:rsid w:val="00B54DE8"/>
    <w:rsid w:val="00B63E9E"/>
    <w:rsid w:val="00BA1977"/>
    <w:rsid w:val="00BC0439"/>
    <w:rsid w:val="00C04C21"/>
    <w:rsid w:val="00C41513"/>
    <w:rsid w:val="00C7436A"/>
    <w:rsid w:val="00CA0F14"/>
    <w:rsid w:val="00CA536B"/>
    <w:rsid w:val="00CB0D1E"/>
    <w:rsid w:val="00CC66B6"/>
    <w:rsid w:val="00CD6E49"/>
    <w:rsid w:val="00CD794A"/>
    <w:rsid w:val="00CF6A3B"/>
    <w:rsid w:val="00D57AD3"/>
    <w:rsid w:val="00DB612B"/>
    <w:rsid w:val="00DC2A37"/>
    <w:rsid w:val="00DE5021"/>
    <w:rsid w:val="00E07782"/>
    <w:rsid w:val="00E70EA3"/>
    <w:rsid w:val="00E75F07"/>
    <w:rsid w:val="00E76A08"/>
    <w:rsid w:val="00E778BB"/>
    <w:rsid w:val="00E80985"/>
    <w:rsid w:val="00E92E06"/>
    <w:rsid w:val="00EC04C8"/>
    <w:rsid w:val="00EE00C2"/>
    <w:rsid w:val="00F0336A"/>
    <w:rsid w:val="00F06DA9"/>
    <w:rsid w:val="00F103D6"/>
    <w:rsid w:val="00F25220"/>
    <w:rsid w:val="00F277FF"/>
    <w:rsid w:val="00F740A9"/>
    <w:rsid w:val="00FA2884"/>
    <w:rsid w:val="00FA7D3A"/>
    <w:rsid w:val="00FC03DC"/>
    <w:rsid w:val="00FC5708"/>
    <w:rsid w:val="05D11D1B"/>
    <w:rsid w:val="074309F6"/>
    <w:rsid w:val="091F0FEF"/>
    <w:rsid w:val="09201287"/>
    <w:rsid w:val="0B995089"/>
    <w:rsid w:val="0BAB4DBC"/>
    <w:rsid w:val="0FC80124"/>
    <w:rsid w:val="103501B8"/>
    <w:rsid w:val="136F98C7"/>
    <w:rsid w:val="17427E68"/>
    <w:rsid w:val="1755065F"/>
    <w:rsid w:val="17D86F39"/>
    <w:rsid w:val="18482B9D"/>
    <w:rsid w:val="18F57676"/>
    <w:rsid w:val="19375EE1"/>
    <w:rsid w:val="1AFC29C9"/>
    <w:rsid w:val="1C5C51E0"/>
    <w:rsid w:val="1CA52F2E"/>
    <w:rsid w:val="1DFE370B"/>
    <w:rsid w:val="1E3630B9"/>
    <w:rsid w:val="1FA00549"/>
    <w:rsid w:val="22993768"/>
    <w:rsid w:val="26EEC2B5"/>
    <w:rsid w:val="275A3DCB"/>
    <w:rsid w:val="29472309"/>
    <w:rsid w:val="2B406E77"/>
    <w:rsid w:val="2C2A0C43"/>
    <w:rsid w:val="2D1E73A5"/>
    <w:rsid w:val="2D3842B6"/>
    <w:rsid w:val="32717154"/>
    <w:rsid w:val="33C0706C"/>
    <w:rsid w:val="34B63260"/>
    <w:rsid w:val="375F68D7"/>
    <w:rsid w:val="37FDA7E2"/>
    <w:rsid w:val="387C7014"/>
    <w:rsid w:val="3A314D88"/>
    <w:rsid w:val="3A746883"/>
    <w:rsid w:val="3CA15DE9"/>
    <w:rsid w:val="3ECC2AA4"/>
    <w:rsid w:val="3FE61EE5"/>
    <w:rsid w:val="406508EE"/>
    <w:rsid w:val="408D6263"/>
    <w:rsid w:val="40AD2461"/>
    <w:rsid w:val="41B40CEE"/>
    <w:rsid w:val="48317291"/>
    <w:rsid w:val="485F7024"/>
    <w:rsid w:val="48E70666"/>
    <w:rsid w:val="4C6877E5"/>
    <w:rsid w:val="4D6A468D"/>
    <w:rsid w:val="4EA86137"/>
    <w:rsid w:val="4FC43323"/>
    <w:rsid w:val="5043693E"/>
    <w:rsid w:val="521560B8"/>
    <w:rsid w:val="56552F27"/>
    <w:rsid w:val="56CA7FD0"/>
    <w:rsid w:val="57FA38D1"/>
    <w:rsid w:val="58DC16DE"/>
    <w:rsid w:val="59D61A62"/>
    <w:rsid w:val="5A094754"/>
    <w:rsid w:val="5EA742A6"/>
    <w:rsid w:val="5F7D3333"/>
    <w:rsid w:val="600A2FD4"/>
    <w:rsid w:val="61385890"/>
    <w:rsid w:val="6504510C"/>
    <w:rsid w:val="65696F48"/>
    <w:rsid w:val="674C0FFA"/>
    <w:rsid w:val="687436E1"/>
    <w:rsid w:val="6922642B"/>
    <w:rsid w:val="6BF568E6"/>
    <w:rsid w:val="6C2D7CE9"/>
    <w:rsid w:val="6D2A0812"/>
    <w:rsid w:val="6DA45C50"/>
    <w:rsid w:val="6E9A7825"/>
    <w:rsid w:val="6F670F9B"/>
    <w:rsid w:val="737450E0"/>
    <w:rsid w:val="74054476"/>
    <w:rsid w:val="742F38C4"/>
    <w:rsid w:val="74AB66DC"/>
    <w:rsid w:val="74C4154C"/>
    <w:rsid w:val="75956FFF"/>
    <w:rsid w:val="77AA2D01"/>
    <w:rsid w:val="796E7CD8"/>
    <w:rsid w:val="7ADD3367"/>
    <w:rsid w:val="7CDE1DBD"/>
    <w:rsid w:val="7D943A85"/>
    <w:rsid w:val="7DB0448C"/>
    <w:rsid w:val="7E5F9AA4"/>
    <w:rsid w:val="8FFC8888"/>
    <w:rsid w:val="A7F73C99"/>
    <w:rsid w:val="BFFE3BF4"/>
    <w:rsid w:val="DFEBDA37"/>
    <w:rsid w:val="EF6FCA1D"/>
    <w:rsid w:val="EFFF57D6"/>
    <w:rsid w:val="FD33A2D0"/>
    <w:rsid w:val="FF7FA20F"/>
    <w:rsid w:val="FFFE81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0"/>
    <w:rPr>
      <w:b/>
      <w:bCs/>
    </w:rPr>
  </w:style>
  <w:style w:type="character" w:styleId="9">
    <w:name w:val="page number"/>
    <w:qFormat/>
    <w:uiPriority w:val="0"/>
  </w:style>
  <w:style w:type="character" w:styleId="10">
    <w:name w:val="annotation reference"/>
    <w:qFormat/>
    <w:uiPriority w:val="0"/>
    <w:rPr>
      <w:sz w:val="21"/>
      <w:szCs w:val="21"/>
    </w:rPr>
  </w:style>
  <w:style w:type="character" w:customStyle="1" w:styleId="11">
    <w:name w:val="批注文字 Char"/>
    <w:link w:val="2"/>
    <w:qFormat/>
    <w:uiPriority w:val="0"/>
    <w:rPr>
      <w:kern w:val="2"/>
      <w:sz w:val="21"/>
      <w:szCs w:val="24"/>
    </w:rPr>
  </w:style>
  <w:style w:type="character" w:customStyle="1" w:styleId="12">
    <w:name w:val="批注框文本 Char"/>
    <w:link w:val="3"/>
    <w:qFormat/>
    <w:uiPriority w:val="0"/>
    <w:rPr>
      <w:kern w:val="2"/>
      <w:sz w:val="18"/>
      <w:szCs w:val="18"/>
    </w:rPr>
  </w:style>
  <w:style w:type="character" w:customStyle="1" w:styleId="13">
    <w:name w:val="页眉 Char"/>
    <w:link w:val="5"/>
    <w:qFormat/>
    <w:uiPriority w:val="0"/>
    <w:rPr>
      <w:kern w:val="2"/>
      <w:sz w:val="18"/>
      <w:szCs w:val="18"/>
    </w:rPr>
  </w:style>
  <w:style w:type="character" w:customStyle="1" w:styleId="14">
    <w:name w:val="批注主题 Char"/>
    <w:link w:val="6"/>
    <w:qFormat/>
    <w:uiPriority w:val="0"/>
    <w:rPr>
      <w:b/>
      <w:bCs/>
      <w:kern w:val="2"/>
      <w:sz w:val="21"/>
      <w:szCs w:val="24"/>
    </w:rPr>
  </w:style>
  <w:style w:type="paragraph" w:customStyle="1" w:styleId="15">
    <w:name w:val="WPSOffice手动目录 1"/>
    <w:qFormat/>
    <w:uiPriority w:val="0"/>
    <w:rPr>
      <w:rFonts w:ascii="Times New Roman" w:hAnsi="Times New Roman" w:eastAsia="宋体" w:cs="Times New Roman"/>
      <w:lang w:val="en-US" w:eastAsia="zh-CN" w:bidi="ar-SA"/>
    </w:rPr>
  </w:style>
  <w:style w:type="paragraph" w:customStyle="1" w:styleId="1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7">
    <w:name w:val="正文1 Char Char 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CCFEF-0EE8-4215-A9BC-017C7198603C}">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14</Pages>
  <Words>5898</Words>
  <Characters>6384</Characters>
  <Lines>51</Lines>
  <Paragraphs>14</Paragraphs>
  <TotalTime>1</TotalTime>
  <ScaleCrop>false</ScaleCrop>
  <LinksUpToDate>false</LinksUpToDate>
  <CharactersWithSpaces>6457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2025-12-24T09:52:00Z</dcterms:created>
  <dc:creator>uos</dc:creator>
  <cp:lastModifiedBy>，，无悔之心</cp:lastModifiedBy>
  <cp:lastPrinted>2025-12-30T08:42:00Z</cp:lastPrinted>
  <dcterms:modified xsi:type="dcterms:W3CDTF">2025-12-30T10:51:20Z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ADD5D12AC15942988C88E7E6690E1B7E_13</vt:lpwstr>
  </property>
  <property fmtid="{D5CDD505-2E9C-101B-9397-08002B2CF9AE}" pid="4" name="KSOTemplateDocerSaveRecord">
    <vt:lpwstr>eyJoZGlkIjoiMzUzYWVkOTIzYzAwMzdjOWY2YTljMjI2NTVmZTQ3ZmEiLCJ1c2VySWQiOiI2MDY4NTU4MjgifQ==</vt:lpwstr>
  </property>
</Properties>
</file>