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4CF7">
      <w:pPr>
        <w:spacing w:line="578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林芝市巴宜区更章乡卫生院2024年度部门决算公开报告</w:t>
      </w:r>
    </w:p>
    <w:p w14:paraId="6C2B2D3A">
      <w:pPr>
        <w:spacing w:line="578" w:lineRule="exact"/>
        <w:jc w:val="center"/>
        <w:rPr>
          <w:rFonts w:hint="eastAsia" w:ascii="黑体" w:hAnsi="ˎ̥" w:eastAsia="黑体"/>
          <w:b/>
          <w:sz w:val="32"/>
          <w:szCs w:val="32"/>
        </w:rPr>
      </w:pPr>
    </w:p>
    <w:p w14:paraId="6A8F1018">
      <w:pPr>
        <w:spacing w:line="578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11440_WPSOffice_Type2"/>
      <w:r>
        <w:rPr>
          <w:rFonts w:hint="eastAsia" w:ascii="黑体" w:hAnsi="黑体" w:eastAsia="黑体" w:cs="黑体"/>
          <w:sz w:val="44"/>
          <w:szCs w:val="44"/>
        </w:rPr>
        <w:t>目  录</w:t>
      </w:r>
    </w:p>
    <w:p w14:paraId="6A2F743B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_Toc1704_WPSOffice_Level1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>第一部分 基本情况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2</w:t>
      </w:r>
    </w:p>
    <w:p w14:paraId="29CBFE7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_Toc20274_WPSOffice_Level2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一、部门（单位）职责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0908980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_Toc4833_WPSOffice_Level2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二、机构设置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3B013F23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_Toc28253_WPSOffice_Level1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 xml:space="preserve">第二部分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年度部门决算公开表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2</w:t>
      </w:r>
    </w:p>
    <w:p w14:paraId="6E57563D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_Toc27590_WPSOffice_Level1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hint="eastAsia"/>
          <w:sz w:val="32"/>
          <w:szCs w:val="32"/>
        </w:rPr>
        <w:t xml:space="preserve">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年度部门决算情况说明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3</w:t>
      </w:r>
    </w:p>
    <w:p w14:paraId="65C4017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_Toc21737_WPSOffice_Level2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一、收入支出总体情况说明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3</w:t>
      </w:r>
    </w:p>
    <w:p w14:paraId="4BD7D57F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二、收入决算情况说明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0C54764D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三、支出决算情况说明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51FC70A3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四、财政拨款收入支出决算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总体</w:t>
      </w:r>
      <w:r>
        <w:rPr>
          <w:rFonts w:hint="eastAsia" w:ascii="仿宋" w:hAnsi="仿宋" w:eastAsia="仿宋" w:cs="仿宋"/>
          <w:bCs/>
          <w:sz w:val="32"/>
          <w:szCs w:val="32"/>
        </w:rPr>
        <w:t>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7A0C8420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五、一般公共预算财政拨款支出决算情况说明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5</w:t>
      </w:r>
    </w:p>
    <w:p w14:paraId="0F3513AE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六、一般公共预算财政拨款基本支出决算情况说明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6</w:t>
      </w:r>
    </w:p>
    <w:p w14:paraId="14C271AC">
      <w:pPr>
        <w:pStyle w:val="18"/>
        <w:numPr>
          <w:ilvl w:val="0"/>
          <w:numId w:val="1"/>
        </w:numPr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政府性基金预算财政拨款支出决算情况说明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 w14:paraId="341B0484">
      <w:pPr>
        <w:pStyle w:val="18"/>
        <w:numPr>
          <w:ilvl w:val="0"/>
          <w:numId w:val="1"/>
        </w:numPr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国有资本经营预算财政拨款支出决算情况说明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8</w:t>
      </w:r>
    </w:p>
    <w:p w14:paraId="4A5010BD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九、财政拨款“三公”经费支出决算情况说明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9</w:t>
      </w:r>
    </w:p>
    <w:p w14:paraId="23F091F4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十、预算绩效情况说明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11</w:t>
      </w:r>
    </w:p>
    <w:p w14:paraId="11226842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十一、其他重要事项情况说明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13</w:t>
      </w:r>
    </w:p>
    <w:p w14:paraId="1704E608">
      <w:pPr>
        <w:pStyle w:val="17"/>
        <w:tabs>
          <w:tab w:val="right" w:leader="dot" w:pos="8306"/>
        </w:tabs>
        <w:spacing w:line="578" w:lineRule="exact"/>
        <w:rPr>
          <w:rFonts w:hint="eastAsia" w:ascii="黑体" w:hAnsi="ˎ̥"/>
          <w:b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_Toc15425_WPSOffice_Level1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>第四部分  名词解释</w:t>
      </w:r>
      <w:r>
        <w:rPr>
          <w:sz w:val="32"/>
          <w:szCs w:val="32"/>
        </w:rPr>
        <w:tab/>
      </w:r>
      <w:bookmarkStart w:id="1" w:name="_Toc15425_WPSOffice_Level1Page"/>
      <w:r>
        <w:rPr>
          <w:sz w:val="32"/>
          <w:szCs w:val="32"/>
        </w:rPr>
        <w:t>1</w:t>
      </w:r>
      <w:bookmarkEnd w:id="1"/>
      <w:r>
        <w:rPr>
          <w:sz w:val="32"/>
          <w:szCs w:val="32"/>
        </w:rPr>
        <w:fldChar w:fldCharType="end"/>
      </w:r>
      <w:bookmarkEnd w:id="0"/>
      <w:r>
        <w:rPr>
          <w:rFonts w:hint="eastAsia"/>
          <w:sz w:val="32"/>
          <w:szCs w:val="32"/>
        </w:rPr>
        <w:t>5</w:t>
      </w:r>
    </w:p>
    <w:p w14:paraId="4EC8D6DA">
      <w:pPr>
        <w:spacing w:line="578" w:lineRule="exact"/>
        <w:jc w:val="both"/>
        <w:rPr>
          <w:rFonts w:hint="eastAsia" w:ascii="黑体" w:hAnsi="ˎ̥" w:eastAsia="黑体"/>
          <w:sz w:val="32"/>
          <w:szCs w:val="32"/>
        </w:rPr>
      </w:pPr>
      <w:bookmarkStart w:id="2" w:name="_Toc10720_WPSOffice_Level1"/>
      <w:bookmarkStart w:id="3" w:name="_Toc1704_WPSOffice_Level1"/>
      <w:bookmarkStart w:id="4" w:name="_Toc22941_WPSOffice_Level1"/>
      <w:bookmarkStart w:id="5" w:name="_Toc10049_WPSOffice_Level1"/>
      <w:bookmarkStart w:id="6" w:name="_Toc32433_WPSOffice_Level1"/>
      <w:bookmarkStart w:id="7" w:name="_Toc23465_WPSOffice_Level1"/>
      <w:bookmarkStart w:id="8" w:name="_Toc24238_WPSOffice_Level2"/>
      <w:bookmarkStart w:id="9" w:name="_Toc20274_WPSOffice_Level2"/>
      <w:bookmarkStart w:id="10" w:name="_Toc26580_WPSOffice_Level2"/>
      <w:bookmarkStart w:id="11" w:name="_Toc20205_WPSOffice_Level2"/>
      <w:bookmarkStart w:id="12" w:name="_Toc14159_WPSOffice_Level2"/>
      <w:bookmarkStart w:id="13" w:name="_Toc32622_WPSOffice_Level2"/>
    </w:p>
    <w:p w14:paraId="13495E08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 xml:space="preserve">第一部分  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ˎ̥" w:eastAsia="黑体"/>
          <w:sz w:val="32"/>
          <w:szCs w:val="32"/>
        </w:rPr>
        <w:t>基本情况</w:t>
      </w:r>
    </w:p>
    <w:p w14:paraId="59DE4DDD">
      <w:pPr>
        <w:spacing w:line="578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 w14:paraId="4A3D8885">
      <w:pPr>
        <w:numPr>
          <w:ilvl w:val="0"/>
          <w:numId w:val="2"/>
        </w:num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</w:t>
      </w:r>
      <w:bookmarkEnd w:id="8"/>
      <w:r>
        <w:rPr>
          <w:rFonts w:hint="eastAsia" w:ascii="黑体" w:hAnsi="黑体" w:eastAsia="黑体" w:cs="黑体"/>
          <w:sz w:val="32"/>
          <w:szCs w:val="32"/>
        </w:rPr>
        <w:t>（单位）职责</w:t>
      </w:r>
      <w:bookmarkEnd w:id="9"/>
      <w:bookmarkEnd w:id="10"/>
      <w:bookmarkEnd w:id="11"/>
      <w:bookmarkEnd w:id="12"/>
      <w:bookmarkEnd w:id="13"/>
    </w:p>
    <w:p w14:paraId="0EB3F5C1">
      <w:pPr>
        <w:spacing w:line="578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乡镇卫生院主要承担乡镇医疗、保健、疾病预防和优生优育技术服务等工作。</w:t>
      </w:r>
    </w:p>
    <w:p w14:paraId="0680DACE">
      <w:p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4" w:name="_Toc24059_WPSOffice_Level2"/>
      <w:bookmarkStart w:id="15" w:name="_Toc24474_WPSOffice_Level2"/>
      <w:bookmarkStart w:id="16" w:name="_Toc6572_WPSOffice_Level2"/>
      <w:bookmarkStart w:id="17" w:name="_Toc4833_WPSOffice_Level2"/>
      <w:bookmarkStart w:id="18" w:name="_Toc17796_WPSOffice_Level2"/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14"/>
      <w:bookmarkEnd w:id="15"/>
      <w:bookmarkEnd w:id="16"/>
      <w:bookmarkEnd w:id="17"/>
      <w:bookmarkEnd w:id="18"/>
    </w:p>
    <w:p w14:paraId="30E5F8F9">
      <w:pPr>
        <w:spacing w:line="578" w:lineRule="exact"/>
        <w:ind w:firstLine="640" w:firstLineChars="200"/>
        <w:jc w:val="both"/>
        <w:rPr>
          <w:rFonts w:hint="eastAsia" w:ascii="仿宋_GB2312" w:hAnsi="ˎ̥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sz w:val="32"/>
          <w:szCs w:val="32"/>
        </w:rPr>
        <w:t>纳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入</w:t>
      </w:r>
      <w:r>
        <w:rPr>
          <w:rFonts w:hint="default" w:ascii="仿宋_GB2312" w:hAnsi="ˎ̥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年度部门决算编制范围的单位共1个，包括：</w:t>
      </w:r>
      <w:bookmarkStart w:id="19" w:name="_Toc25738_WPSOffice_Level2"/>
      <w:bookmarkStart w:id="20" w:name="_Toc24421_WPSOffice_Level2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林芝市</w:t>
      </w:r>
      <w:bookmarkStart w:id="97" w:name="_GoBack"/>
      <w:bookmarkEnd w:id="97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巴宜区布久乡卫生院</w:t>
      </w:r>
      <w:bookmarkEnd w:id="19"/>
      <w:bookmarkEnd w:id="20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。</w:t>
      </w:r>
    </w:p>
    <w:p w14:paraId="149848AF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bookmarkStart w:id="21" w:name="_Toc28253_WPSOffice_Level1"/>
      <w:bookmarkStart w:id="22" w:name="_Toc8164_WPSOffice_Level1"/>
      <w:bookmarkStart w:id="23" w:name="_Toc15521_WPSOffice_Level1"/>
      <w:bookmarkStart w:id="24" w:name="_Toc30690_WPSOffice_Level1"/>
      <w:bookmarkStart w:id="25" w:name="_Toc6234_WPSOffice_Level1"/>
      <w:bookmarkStart w:id="26" w:name="_Toc30451_WPSOffice_Level1"/>
      <w:bookmarkStart w:id="27" w:name="_Toc32472_WPSOffice_Level2"/>
      <w:bookmarkStart w:id="28" w:name="_Toc8867_WPSOffice_Level2"/>
      <w:bookmarkStart w:id="29" w:name="_Toc4029_WPSOffice_Level2"/>
      <w:bookmarkStart w:id="30" w:name="_Toc6211_WPSOffice_Level2"/>
      <w:bookmarkStart w:id="31" w:name="_Toc11518_WPSOffice_Level2"/>
      <w:bookmarkStart w:id="32" w:name="_Toc32695_WPSOffice_Level2"/>
    </w:p>
    <w:p w14:paraId="5ABA64D5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 xml:space="preserve">第二部分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年度部门决算公开报表</w:t>
      </w:r>
      <w:bookmarkEnd w:id="21"/>
      <w:bookmarkEnd w:id="22"/>
      <w:bookmarkEnd w:id="23"/>
      <w:bookmarkEnd w:id="24"/>
      <w:bookmarkEnd w:id="25"/>
      <w:bookmarkEnd w:id="26"/>
    </w:p>
    <w:p w14:paraId="1A7D129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</w:p>
    <w:p w14:paraId="4609FEC3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一、收入支出决算公开表</w:t>
      </w:r>
      <w:bookmarkEnd w:id="27"/>
      <w:bookmarkEnd w:id="28"/>
      <w:bookmarkEnd w:id="29"/>
      <w:bookmarkEnd w:id="30"/>
      <w:bookmarkEnd w:id="31"/>
      <w:bookmarkEnd w:id="32"/>
    </w:p>
    <w:p w14:paraId="646AEC68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bookmarkStart w:id="33" w:name="_Toc14349_WPSOffice_Level2"/>
      <w:bookmarkStart w:id="34" w:name="_Toc23139_WPSOffice_Level2"/>
      <w:bookmarkStart w:id="35" w:name="_Toc26621_WPSOffice_Level2"/>
      <w:bookmarkStart w:id="36" w:name="_Toc30334_WPSOffice_Level2"/>
      <w:bookmarkStart w:id="37" w:name="_Toc28622_WPSOffice_Level2"/>
      <w:bookmarkStart w:id="38" w:name="_Toc25608_WPSOffice_Level2"/>
      <w:r>
        <w:rPr>
          <w:rFonts w:hint="eastAsia" w:ascii="黑体" w:hAnsi="黑体" w:eastAsia="黑体" w:cs="黑体"/>
          <w:sz w:val="32"/>
          <w:szCs w:val="32"/>
        </w:rPr>
        <w:t>二、收入决算公开表</w:t>
      </w:r>
      <w:bookmarkEnd w:id="33"/>
      <w:bookmarkEnd w:id="34"/>
      <w:bookmarkEnd w:id="35"/>
      <w:bookmarkEnd w:id="36"/>
      <w:bookmarkEnd w:id="37"/>
      <w:bookmarkEnd w:id="38"/>
      <w:bookmarkStart w:id="39" w:name="_Toc3262_WPSOffice_Level2"/>
      <w:bookmarkStart w:id="40" w:name="_Toc17858_WPSOffice_Level2"/>
      <w:bookmarkStart w:id="41" w:name="_Toc13854_WPSOffice_Level2"/>
      <w:bookmarkStart w:id="42" w:name="_Toc17626_WPSOffice_Level2"/>
      <w:bookmarkStart w:id="43" w:name="_Toc5489_WPSOffice_Level2"/>
      <w:bookmarkStart w:id="44" w:name="_Toc14658_WPSOffice_Level2"/>
    </w:p>
    <w:p w14:paraId="2D43FEAF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三、支出决算公开表</w:t>
      </w:r>
      <w:bookmarkEnd w:id="39"/>
      <w:bookmarkEnd w:id="40"/>
      <w:bookmarkEnd w:id="41"/>
      <w:bookmarkEnd w:id="42"/>
      <w:bookmarkEnd w:id="43"/>
      <w:bookmarkEnd w:id="44"/>
      <w:bookmarkStart w:id="45" w:name="_Toc23591_WPSOffice_Level2"/>
      <w:bookmarkStart w:id="46" w:name="_Toc13701_WPSOffice_Level2"/>
      <w:bookmarkStart w:id="47" w:name="_Toc23493_WPSOffice_Level2"/>
      <w:bookmarkStart w:id="48" w:name="_Toc7988_WPSOffice_Level2"/>
      <w:bookmarkStart w:id="49" w:name="_Toc4265_WPSOffice_Level2"/>
      <w:bookmarkStart w:id="50" w:name="_Toc21415_WPSOffice_Level2"/>
    </w:p>
    <w:p w14:paraId="466CE0B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四、财政拨款收入支出决算公开表</w:t>
      </w:r>
      <w:bookmarkEnd w:id="45"/>
      <w:bookmarkEnd w:id="46"/>
      <w:bookmarkEnd w:id="47"/>
      <w:bookmarkEnd w:id="48"/>
      <w:bookmarkEnd w:id="49"/>
      <w:bookmarkEnd w:id="50"/>
    </w:p>
    <w:p w14:paraId="1CA1AAB7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bookmarkStart w:id="51" w:name="_Toc25166_WPSOffice_Level2"/>
      <w:bookmarkStart w:id="52" w:name="_Toc7879_WPSOffice_Level2"/>
      <w:bookmarkStart w:id="53" w:name="_Toc22783_WPSOffice_Level2"/>
      <w:bookmarkStart w:id="54" w:name="_Toc23829_WPSOffice_Level2"/>
      <w:bookmarkStart w:id="55" w:name="_Toc13516_WPSOffice_Level2"/>
      <w:bookmarkStart w:id="56" w:name="_Toc2158_WPSOffice_Level2"/>
      <w:r>
        <w:rPr>
          <w:rFonts w:hint="eastAsia" w:ascii="黑体" w:hAnsi="黑体" w:eastAsia="黑体" w:cs="黑体"/>
          <w:sz w:val="32"/>
          <w:szCs w:val="32"/>
        </w:rPr>
        <w:t>五、一般公共预算财政拨款收入支出决算</w:t>
      </w:r>
      <w:bookmarkEnd w:id="51"/>
      <w:bookmarkEnd w:id="52"/>
      <w:bookmarkEnd w:id="53"/>
      <w:bookmarkEnd w:id="54"/>
      <w:r>
        <w:rPr>
          <w:rFonts w:hint="eastAsia" w:ascii="黑体" w:hAnsi="黑体" w:eastAsia="黑体" w:cs="黑体"/>
          <w:sz w:val="32"/>
          <w:szCs w:val="32"/>
        </w:rPr>
        <w:t>公开表</w:t>
      </w:r>
      <w:bookmarkEnd w:id="55"/>
      <w:bookmarkEnd w:id="56"/>
      <w:bookmarkStart w:id="57" w:name="_Toc5343_WPSOffice_Level2"/>
      <w:bookmarkStart w:id="58" w:name="_Toc2632_WPSOffice_Level2"/>
      <w:bookmarkStart w:id="59" w:name="_Toc17833_WPSOffice_Level2"/>
      <w:bookmarkStart w:id="60" w:name="_Toc25362_WPSOffice_Level2"/>
      <w:bookmarkStart w:id="61" w:name="_Toc8373_WPSOffice_Level2"/>
      <w:bookmarkStart w:id="62" w:name="_Toc17283_WPSOffice_Level2"/>
    </w:p>
    <w:p w14:paraId="163493D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六、一般公共预算财政拨款基本支出决算</w:t>
      </w:r>
      <w:bookmarkEnd w:id="57"/>
      <w:bookmarkEnd w:id="58"/>
      <w:bookmarkEnd w:id="59"/>
      <w:bookmarkEnd w:id="60"/>
      <w:bookmarkEnd w:id="61"/>
      <w:bookmarkEnd w:id="62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11250B0D">
      <w:pPr>
        <w:spacing w:line="578" w:lineRule="exact"/>
        <w:ind w:left="1118" w:leftChars="304" w:hanging="480" w:hangingChars="150"/>
        <w:rPr>
          <w:rFonts w:hint="eastAsia" w:ascii="黑体" w:hAnsi="黑体" w:eastAsia="黑体" w:cs="黑体"/>
          <w:sz w:val="32"/>
          <w:szCs w:val="32"/>
        </w:rPr>
      </w:pPr>
      <w:bookmarkStart w:id="63" w:name="_Toc13345_WPSOffice_Level2"/>
      <w:bookmarkStart w:id="64" w:name="_Toc6020_WPSOffice_Level2"/>
      <w:bookmarkStart w:id="65" w:name="_Toc21310_WPSOffice_Level2"/>
      <w:bookmarkStart w:id="66" w:name="_Toc1533_WPSOffice_Level2"/>
      <w:bookmarkStart w:id="67" w:name="_Toc11799_WPSOffice_Level2"/>
      <w:bookmarkStart w:id="68" w:name="_Toc5594_WPSOffice_Level2"/>
      <w:r>
        <w:rPr>
          <w:rFonts w:hint="eastAsia" w:ascii="黑体" w:hAnsi="黑体" w:eastAsia="黑体" w:cs="黑体"/>
          <w:sz w:val="32"/>
          <w:szCs w:val="32"/>
        </w:rPr>
        <w:t>七、政府性基金预算财政拨款收入支出决算</w:t>
      </w:r>
      <w:bookmarkEnd w:id="63"/>
      <w:bookmarkEnd w:id="64"/>
      <w:bookmarkEnd w:id="65"/>
      <w:bookmarkEnd w:id="66"/>
      <w:bookmarkEnd w:id="67"/>
      <w:bookmarkEnd w:id="68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33B6C1DC">
      <w:pPr>
        <w:spacing w:line="578" w:lineRule="exact"/>
        <w:ind w:left="1118" w:leftChars="304" w:hanging="480" w:hangingChars="1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八、国有资本经营预算财政拨款收入支出决算公开表</w:t>
      </w:r>
    </w:p>
    <w:p w14:paraId="6225979D">
      <w:pPr>
        <w:spacing w:line="578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bookmarkStart w:id="69" w:name="_Toc29886_WPSOffice_Level2"/>
      <w:bookmarkStart w:id="70" w:name="_Toc19961_WPSOffice_Level2"/>
      <w:bookmarkStart w:id="71" w:name="_Toc9377_WPSOffice_Level2"/>
      <w:bookmarkStart w:id="72" w:name="_Toc1820_WPSOffice_Level2"/>
      <w:r>
        <w:rPr>
          <w:rFonts w:hint="eastAsia" w:ascii="黑体" w:hAnsi="黑体" w:eastAsia="黑体" w:cs="黑体"/>
          <w:sz w:val="32"/>
          <w:szCs w:val="32"/>
        </w:rPr>
        <w:t>九、财政拨款“三公”经费支出决算</w:t>
      </w:r>
      <w:bookmarkEnd w:id="69"/>
      <w:bookmarkEnd w:id="70"/>
      <w:bookmarkEnd w:id="71"/>
      <w:bookmarkEnd w:id="72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752E8721">
      <w:pPr>
        <w:spacing w:line="578" w:lineRule="exact"/>
        <w:ind w:firstLine="64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 xml:space="preserve">以上报表见附件1。   </w:t>
      </w:r>
    </w:p>
    <w:p w14:paraId="5B482E07"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</w:p>
    <w:p w14:paraId="31BF6332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bookmarkStart w:id="73" w:name="_Toc29683_WPSOffice_Level1"/>
      <w:bookmarkStart w:id="74" w:name="_Toc4402_WPSOffice_Level1"/>
      <w:bookmarkStart w:id="75" w:name="_Toc16686_WPSOffice_Level1"/>
      <w:bookmarkStart w:id="76" w:name="_Toc27590_WPSOffice_Level1"/>
      <w:bookmarkStart w:id="77" w:name="_Toc31264_WPSOffice_Level1"/>
      <w:bookmarkStart w:id="78" w:name="_Toc28629_WPSOffice_Level1"/>
      <w:r>
        <w:rPr>
          <w:rFonts w:hint="eastAsia" w:ascii="黑体" w:hAnsi="ˎ̥" w:eastAsia="黑体"/>
          <w:sz w:val="32"/>
          <w:szCs w:val="32"/>
        </w:rPr>
        <w:t xml:space="preserve">第三部分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年度部门决算情况说明</w:t>
      </w:r>
      <w:bookmarkEnd w:id="73"/>
      <w:bookmarkEnd w:id="74"/>
      <w:bookmarkEnd w:id="75"/>
      <w:bookmarkEnd w:id="76"/>
      <w:bookmarkEnd w:id="77"/>
      <w:bookmarkEnd w:id="78"/>
    </w:p>
    <w:p w14:paraId="0108672B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</w:p>
    <w:p w14:paraId="1051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一、收入支出总体情况说明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楷体_GB2312" w:hAnsi="ˎ̥" w:eastAsia="楷体_GB2312"/>
          <w:sz w:val="32"/>
          <w:szCs w:val="32"/>
        </w:rPr>
        <w:t xml:space="preserve">    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年度收入总计</w:t>
      </w:r>
      <w:r>
        <w:rPr>
          <w:rFonts w:hint="default" w:ascii="仿宋_GB2312" w:hAnsi="ˎ̥" w:eastAsia="仿宋_GB2312"/>
          <w:sz w:val="32"/>
          <w:szCs w:val="32"/>
          <w:lang w:val="en-US"/>
        </w:rPr>
        <w:t>310.04</w:t>
      </w:r>
      <w:r>
        <w:rPr>
          <w:rFonts w:hint="eastAsia" w:ascii="仿宋_GB2312" w:hAnsi="ˎ̥" w:eastAsia="仿宋_GB2312"/>
          <w:sz w:val="32"/>
          <w:szCs w:val="32"/>
        </w:rPr>
        <w:t>万元，支出总计</w:t>
      </w:r>
      <w:r>
        <w:rPr>
          <w:rFonts w:hint="default" w:ascii="仿宋_GB2312" w:hAnsi="ˎ̥" w:eastAsia="仿宋_GB2312"/>
          <w:sz w:val="32"/>
          <w:szCs w:val="32"/>
          <w:lang w:val="en-US"/>
        </w:rPr>
        <w:t>310.04</w:t>
      </w:r>
      <w:r>
        <w:rPr>
          <w:rFonts w:hint="eastAsia" w:ascii="仿宋_GB2312" w:hAnsi="ˎ̥" w:eastAsia="仿宋_GB2312"/>
          <w:sz w:val="32"/>
          <w:szCs w:val="32"/>
        </w:rPr>
        <w:t>万元，与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年度相比，收入、支出总计各增加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103.93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50.42</w:t>
      </w:r>
      <w:r>
        <w:rPr>
          <w:rFonts w:hint="eastAsia" w:ascii="仿宋_GB2312" w:hAnsi="ˎ̥" w:eastAsia="仿宋_GB2312"/>
          <w:sz w:val="32"/>
          <w:szCs w:val="32"/>
        </w:rPr>
        <w:t>%。主要原因：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人员变动、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基本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支出经费增加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事业收入增加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05B8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收入</w:t>
      </w:r>
      <w:r>
        <w:rPr>
          <w:rFonts w:ascii="楷体" w:hAnsi="楷体" w:eastAsia="楷体" w:cs="楷体"/>
          <w:sz w:val="32"/>
          <w:szCs w:val="32"/>
        </w:rPr>
        <w:t>总计</w:t>
      </w:r>
      <w:r>
        <w:rPr>
          <w:rFonts w:hint="eastAsia" w:ascii="楷体" w:hAnsi="楷体" w:eastAsia="楷体" w:cs="楷体"/>
          <w:sz w:val="32"/>
          <w:szCs w:val="32"/>
        </w:rPr>
        <w:t>主要</w:t>
      </w:r>
      <w:r>
        <w:rPr>
          <w:rFonts w:ascii="楷体" w:hAnsi="楷体" w:eastAsia="楷体" w:cs="楷体"/>
          <w:sz w:val="32"/>
          <w:szCs w:val="32"/>
        </w:rPr>
        <w:t>构成</w:t>
      </w:r>
    </w:p>
    <w:p w14:paraId="596A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</w:t>
      </w:r>
      <w:r>
        <w:rPr>
          <w:rFonts w:ascii="仿宋_GB2312" w:hAnsi="ˎ̥" w:eastAsia="仿宋_GB2312"/>
          <w:sz w:val="32"/>
          <w:szCs w:val="32"/>
        </w:rPr>
        <w:t>收</w:t>
      </w:r>
      <w:r>
        <w:rPr>
          <w:rFonts w:hint="eastAsia" w:ascii="仿宋_GB2312" w:hAnsi="ˎ̥" w:eastAsia="仿宋_GB2312"/>
          <w:sz w:val="32"/>
          <w:szCs w:val="32"/>
        </w:rPr>
        <w:t>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310.04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5B28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年初结转结余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万元，主要是2024年货币资金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万元，较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年度决算数增加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%，主要原因是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业务收入增加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74FA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支出</w:t>
      </w:r>
      <w:r>
        <w:rPr>
          <w:rFonts w:ascii="楷体" w:hAnsi="楷体" w:eastAsia="楷体" w:cs="楷体"/>
          <w:sz w:val="32"/>
          <w:szCs w:val="32"/>
        </w:rPr>
        <w:t>总计</w:t>
      </w:r>
      <w:r>
        <w:rPr>
          <w:rFonts w:hint="eastAsia" w:ascii="楷体" w:hAnsi="楷体" w:eastAsia="楷体" w:cs="楷体"/>
          <w:sz w:val="32"/>
          <w:szCs w:val="32"/>
        </w:rPr>
        <w:t>主要</w:t>
      </w:r>
      <w:r>
        <w:rPr>
          <w:rFonts w:ascii="楷体" w:hAnsi="楷体" w:eastAsia="楷体" w:cs="楷体"/>
          <w:sz w:val="32"/>
          <w:szCs w:val="32"/>
        </w:rPr>
        <w:t>构成</w:t>
      </w:r>
    </w:p>
    <w:p w14:paraId="788E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292.78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3826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ˎ̥" w:eastAsia="仿宋_GB2312"/>
          <w:sz w:val="32"/>
          <w:szCs w:val="32"/>
        </w:rPr>
        <w:t>结余分配。</w:t>
      </w:r>
    </w:p>
    <w:p w14:paraId="33C8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年末结转结余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万元，主要是是2024年货币资金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万元，较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年度决算数增加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%，主要原因是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业务收入增加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5ABF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</w:t>
      </w:r>
    </w:p>
    <w:p w14:paraId="3B02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二、收入决算情况说明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仿宋_GB2312" w:hAnsi="ˎ̥" w:eastAsia="仿宋_GB2312"/>
          <w:sz w:val="32"/>
          <w:szCs w:val="32"/>
        </w:rPr>
        <w:t xml:space="preserve">    本年收入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310.04</w:t>
      </w:r>
      <w:r>
        <w:rPr>
          <w:rFonts w:hint="eastAsia" w:ascii="仿宋_GB2312" w:hAnsi="ˎ̥" w:eastAsia="仿宋_GB2312"/>
          <w:sz w:val="32"/>
          <w:szCs w:val="32"/>
        </w:rPr>
        <w:t>万元，其中：财政拨款收入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78.41</w:t>
      </w:r>
      <w:r>
        <w:rPr>
          <w:rFonts w:hint="eastAsia" w:ascii="仿宋_GB2312" w:hAnsi="ˎ̥" w:eastAsia="仿宋_GB2312"/>
          <w:sz w:val="32"/>
          <w:szCs w:val="32"/>
        </w:rPr>
        <w:t>%；上级补助收入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%；事业收入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%；经营收入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%；附属单位上缴收入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%；其他收入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66.94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21.59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5FF6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三、支出决算情况说明</w:t>
      </w:r>
    </w:p>
    <w:p w14:paraId="2941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292.78</w:t>
      </w:r>
      <w:r>
        <w:rPr>
          <w:rFonts w:hint="eastAsia" w:ascii="仿宋_GB2312" w:hAnsi="ˎ̥" w:eastAsia="仿宋_GB2312"/>
          <w:sz w:val="32"/>
          <w:szCs w:val="32"/>
        </w:rPr>
        <w:t>万元，其中：基本支出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244.28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%；项目支出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48.50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%；上缴上级支出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%；经营支出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%；对附属单位补助支出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default" w:ascii="仿宋_GB2312" w:hAnsi="ˎ̥" w:eastAsia="仿宋_GB2312"/>
          <w:sz w:val="32"/>
          <w:szCs w:val="32"/>
          <w:lang w:val="en-US"/>
        </w:rPr>
        <w:t>XXXX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6EA1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四、财政拨款收入支出决算总体情况说明</w:t>
      </w:r>
    </w:p>
    <w:p w14:paraId="3CD7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年度财政拨款收入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万元。与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年度相比，财政拨款收入增加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36.99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17.95</w:t>
      </w:r>
      <w:r>
        <w:rPr>
          <w:rFonts w:hint="eastAsia" w:ascii="仿宋_GB2312" w:hAnsi="ˎ̥" w:eastAsia="仿宋_GB2312"/>
          <w:sz w:val="32"/>
          <w:szCs w:val="32"/>
        </w:rPr>
        <w:t>%，主要原因：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人员变动、基本</w:t>
      </w:r>
      <w:r>
        <w:rPr>
          <w:rFonts w:hint="eastAsia" w:ascii="仿宋_GB2312" w:hAnsi="ˎ̥" w:eastAsia="仿宋_GB2312"/>
          <w:sz w:val="32"/>
          <w:szCs w:val="32"/>
        </w:rPr>
        <w:t>支出经费增加。支出增加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36.99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17.95</w:t>
      </w:r>
      <w:r>
        <w:rPr>
          <w:rFonts w:hint="eastAsia" w:ascii="仿宋_GB2312" w:hAnsi="ˎ̥" w:eastAsia="仿宋_GB2312"/>
          <w:sz w:val="32"/>
          <w:szCs w:val="32"/>
        </w:rPr>
        <w:t>%，主要原因：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人员变动、基本</w:t>
      </w:r>
      <w:r>
        <w:rPr>
          <w:rFonts w:hint="eastAsia" w:ascii="仿宋_GB2312" w:hAnsi="ˎ̥" w:eastAsia="仿宋_GB2312"/>
          <w:sz w:val="32"/>
          <w:szCs w:val="32"/>
        </w:rPr>
        <w:t>支出经费增加。</w:t>
      </w:r>
    </w:p>
    <w:p w14:paraId="2F28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财政拨款年初结转结余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49F4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财政拨款年末结转结余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7BE8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五、一般公共预算财政拨款支出决算情况说明</w:t>
      </w:r>
    </w:p>
    <w:p w14:paraId="5561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79" w:name="_Toc23005_WPSOffice_Level2"/>
      <w:bookmarkStart w:id="80" w:name="_Toc19665_WPSOffice_Level2"/>
      <w:bookmarkStart w:id="81" w:name="_Toc13694_WPSOffice_Level2"/>
      <w:bookmarkStart w:id="82" w:name="_Toc9989_WPSOffice_Level2"/>
      <w:bookmarkStart w:id="83" w:name="_Toc17398_WPSOffice_Level2"/>
      <w:bookmarkStart w:id="84" w:name="_Toc21737_WPSOffice_Level2"/>
      <w:r>
        <w:rPr>
          <w:rFonts w:hint="eastAsia" w:ascii="楷体" w:hAnsi="楷体" w:eastAsia="楷体" w:cs="楷体"/>
          <w:sz w:val="32"/>
          <w:szCs w:val="32"/>
        </w:rPr>
        <w:t>（一）一般公共预算财政拨款支出决算总体情况</w:t>
      </w:r>
      <w:bookmarkEnd w:id="79"/>
      <w:bookmarkEnd w:id="80"/>
      <w:bookmarkEnd w:id="81"/>
      <w:bookmarkEnd w:id="82"/>
      <w:bookmarkEnd w:id="83"/>
      <w:bookmarkEnd w:id="84"/>
    </w:p>
    <w:p w14:paraId="0B0C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万元，占本年支出合计的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83.03</w:t>
      </w:r>
      <w:r>
        <w:rPr>
          <w:rFonts w:hint="eastAsia" w:ascii="仿宋_GB2312" w:hAnsi="ˎ̥" w:eastAsia="仿宋_GB2312"/>
          <w:sz w:val="32"/>
          <w:szCs w:val="32"/>
        </w:rPr>
        <w:t>%。与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年度相比，一般公共预算财政拨款支出增加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36.99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17.95</w:t>
      </w:r>
      <w:r>
        <w:rPr>
          <w:rFonts w:hint="eastAsia" w:ascii="仿宋_GB2312" w:hAnsi="ˎ̥" w:eastAsia="仿宋_GB2312"/>
          <w:sz w:val="32"/>
          <w:szCs w:val="32"/>
        </w:rPr>
        <w:t>%，主要原因是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人员变动、基本</w:t>
      </w:r>
      <w:r>
        <w:rPr>
          <w:rFonts w:hint="eastAsia" w:ascii="仿宋_GB2312" w:hAnsi="ˎ̥" w:eastAsia="仿宋_GB2312"/>
          <w:sz w:val="32"/>
          <w:szCs w:val="32"/>
        </w:rPr>
        <w:t>支出经费增加。</w:t>
      </w:r>
    </w:p>
    <w:p w14:paraId="02CF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85" w:name="_Toc27767_WPSOffice_Level2"/>
      <w:bookmarkStart w:id="86" w:name="_Toc2711_WPSOffice_Level2"/>
      <w:bookmarkStart w:id="87" w:name="_Toc18793_WPSOffice_Level2"/>
      <w:bookmarkStart w:id="88" w:name="_Toc23864_WPSOffice_Level2"/>
      <w:bookmarkStart w:id="89" w:name="_Toc19535_WPSOffice_Level2"/>
      <w:bookmarkStart w:id="90" w:name="_Toc19075_WPSOffice_Level2"/>
      <w:r>
        <w:rPr>
          <w:rFonts w:hint="eastAsia" w:ascii="楷体" w:hAnsi="楷体" w:eastAsia="楷体" w:cs="楷体"/>
          <w:sz w:val="32"/>
          <w:szCs w:val="32"/>
        </w:rPr>
        <w:t>（二）一般公共预算财政拨款支出决算结构情况</w:t>
      </w:r>
      <w:bookmarkEnd w:id="85"/>
      <w:bookmarkEnd w:id="86"/>
      <w:bookmarkEnd w:id="87"/>
      <w:bookmarkEnd w:id="88"/>
      <w:bookmarkEnd w:id="89"/>
      <w:bookmarkEnd w:id="90"/>
    </w:p>
    <w:p w14:paraId="1BE4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万元，主要用于以下方面：</w:t>
      </w:r>
      <w:r>
        <w:rPr>
          <w:rFonts w:hint="eastAsia" w:ascii="仿宋_GB2312" w:hAnsi="ˎ̥" w:eastAsia="仿宋_GB2312"/>
          <w:b/>
          <w:sz w:val="32"/>
          <w:szCs w:val="32"/>
        </w:rPr>
        <w:t>一般公共服务（类）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0.23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0.08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%</w:t>
      </w:r>
      <w:r>
        <w:rPr>
          <w:rFonts w:hint="eastAsia" w:ascii="仿宋_GB2312" w:hAnsi="ˎ̥" w:eastAsia="仿宋_GB2312"/>
          <w:sz w:val="32"/>
          <w:szCs w:val="32"/>
        </w:rPr>
        <w:t>；……</w:t>
      </w:r>
      <w:r>
        <w:rPr>
          <w:rFonts w:hint="eastAsia" w:ascii="仿宋_GB2312" w:hAnsi="ˎ̥" w:eastAsia="仿宋_GB2312"/>
          <w:b/>
          <w:sz w:val="32"/>
          <w:szCs w:val="32"/>
        </w:rPr>
        <w:t>社会保障和就业（类）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>22.29万元，占7.61%</w:t>
      </w:r>
      <w:r>
        <w:rPr>
          <w:rFonts w:hint="eastAsia" w:ascii="仿宋_GB2312" w:hAnsi="ˎ̥" w:eastAsia="仿宋_GB2312"/>
          <w:sz w:val="32"/>
          <w:szCs w:val="32"/>
        </w:rPr>
        <w:t>；</w:t>
      </w:r>
      <w:r>
        <w:rPr>
          <w:rFonts w:hint="eastAsia" w:ascii="仿宋_GB2312" w:hAnsi="ˎ̥" w:eastAsia="仿宋_GB2312"/>
          <w:b/>
          <w:bCs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ˎ̥" w:eastAsia="仿宋_GB2312"/>
          <w:b/>
          <w:bCs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240.60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82.18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ˎ̥" w:eastAsia="仿宋_GB2312"/>
          <w:b/>
          <w:bCs/>
          <w:sz w:val="32"/>
          <w:szCs w:val="32"/>
        </w:rPr>
        <w:t>住房保障（类）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51B5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91" w:name="_Toc9502_WPSOffice_Level2"/>
      <w:bookmarkStart w:id="92" w:name="_Toc22318_WPSOffice_Level2"/>
      <w:bookmarkStart w:id="93" w:name="_Toc25136_WPSOffice_Level2"/>
      <w:bookmarkStart w:id="94" w:name="_Toc15415_WPSOffice_Level2"/>
      <w:bookmarkStart w:id="95" w:name="_Toc21701_WPSOffice_Level2"/>
      <w:bookmarkStart w:id="96" w:name="_Toc29364_WPSOffice_Level2"/>
      <w:r>
        <w:rPr>
          <w:rFonts w:hint="eastAsia" w:ascii="楷体" w:hAnsi="楷体" w:eastAsia="楷体" w:cs="楷体"/>
          <w:sz w:val="32"/>
          <w:szCs w:val="32"/>
        </w:rPr>
        <w:t>（三）一般公共预算财政拨款支出决算具体情况</w:t>
      </w:r>
      <w:bookmarkEnd w:id="91"/>
      <w:bookmarkEnd w:id="92"/>
      <w:bookmarkEnd w:id="93"/>
      <w:bookmarkEnd w:id="94"/>
      <w:bookmarkEnd w:id="95"/>
      <w:bookmarkEnd w:id="96"/>
    </w:p>
    <w:p w14:paraId="0421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年度一般公共预算财政拨款支出年初预算为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243.1</w:t>
      </w:r>
      <w:r>
        <w:rPr>
          <w:rFonts w:hint="eastAsia" w:ascii="仿宋_GB2312" w:hAnsi="ˎ̥" w:eastAsia="仿宋_GB2312"/>
          <w:sz w:val="32"/>
          <w:szCs w:val="32"/>
        </w:rPr>
        <w:t>万元，支出决算为</w:t>
      </w:r>
      <w:r>
        <w:rPr>
          <w:rFonts w:hint="default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万元，完成年初预算的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%。其中：</w:t>
      </w:r>
    </w:p>
    <w:p w14:paraId="417C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b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1.</w:t>
      </w:r>
      <w:r>
        <w:rPr>
          <w:rFonts w:hint="eastAsia" w:ascii="仿宋_GB2312" w:hAnsi="ˎ̥" w:eastAsia="仿宋_GB2312"/>
          <w:b/>
          <w:sz w:val="32"/>
          <w:szCs w:val="32"/>
        </w:rPr>
        <w:t>一般公共服务（类）人大事务（款）行政运行（项）。</w:t>
      </w:r>
    </w:p>
    <w:p w14:paraId="3B81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年初预算为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0.23</w:t>
      </w:r>
      <w:r>
        <w:rPr>
          <w:rFonts w:hint="eastAsia" w:ascii="仿宋_GB2312" w:hAnsi="ˎ̥" w:eastAsia="仿宋_GB2312"/>
          <w:sz w:val="32"/>
          <w:szCs w:val="32"/>
        </w:rPr>
        <w:t>万元，支出决算为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0.23</w:t>
      </w:r>
      <w:r>
        <w:rPr>
          <w:rFonts w:hint="eastAsia" w:ascii="仿宋_GB2312" w:hAnsi="ˎ̥" w:eastAsia="仿宋_GB2312"/>
          <w:sz w:val="32"/>
          <w:szCs w:val="32"/>
        </w:rPr>
        <w:t>万元，完成年初预算的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6E8039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社会保障和就业支出（类）行政事业单位养老支出（款）机关事业单位基本养老保险缴费支出（项）: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9CC9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 xml:space="preserve">卫生健康支出(类) 基层医疗卫生机构(款)乡镇卫生院(项): 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F7D1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 xml:space="preserve">卫生健康支出(类) 行政事业单位医疗(款) 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事业</w:t>
      </w:r>
      <w:r>
        <w:rPr>
          <w:rFonts w:hint="eastAsia" w:ascii="仿宋_GB2312" w:hAnsi="ˎ̥" w:eastAsia="仿宋_GB2312"/>
          <w:b/>
          <w:sz w:val="32"/>
          <w:szCs w:val="32"/>
        </w:rPr>
        <w:t>单位医疗(项):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EC93C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卫生健康支出(类) 行政事业单位医疗(款) 公务员医疗补助(项):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支出决算为2.92万元，预算为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D6C26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</w:t>
      </w:r>
      <w:r>
        <w:rPr>
          <w:rFonts w:hint="eastAsia" w:ascii="仿宋_GB2312" w:hAnsi="ˎ̥" w:eastAsia="仿宋_GB2312"/>
          <w:b/>
          <w:sz w:val="32"/>
          <w:szCs w:val="32"/>
        </w:rPr>
        <w:t>生健康支出(类) 行政事业单位医疗(款) 其他行政事业单位医疗支出(项):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支出决算为1.8万元，预算为1.8万元，完成预算1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5BA739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ˎ̥" w:eastAsia="仿宋_GB2312"/>
          <w:b/>
          <w:sz w:val="32"/>
          <w:szCs w:val="32"/>
        </w:rPr>
        <w:t>住房保障支出(类) 住房改革支出(款) 住房公积金(项)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ˎ̥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支出决算为19.16万元，预算为19.16万元，完成预算1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3C0C60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ˎ̥" w:eastAsia="仿宋_GB2312"/>
          <w:b/>
          <w:sz w:val="32"/>
          <w:szCs w:val="32"/>
        </w:rPr>
        <w:t>住房保障支出(类) 住房改革支出(款)购房补贴(项)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支出决算为10.5万元，预算为10.5万元，完成预算1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EAB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六、一般公共预算财政拨款基本支出决算情况说明</w:t>
      </w:r>
    </w:p>
    <w:p w14:paraId="588683DF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年度财政拨款基本支出</w:t>
      </w:r>
      <w:r>
        <w:rPr>
          <w:rFonts w:hint="eastAsia" w:ascii="仿宋_GB2312" w:hAnsi="ˎ̥" w:eastAsia="仿宋_GB2312"/>
          <w:sz w:val="32"/>
          <w:szCs w:val="32"/>
          <w:lang w:val="en-US"/>
        </w:rPr>
        <w:t>243.10</w:t>
      </w:r>
      <w:r>
        <w:rPr>
          <w:rFonts w:hint="eastAsia" w:ascii="仿宋_GB2312" w:hAnsi="ˎ̥" w:eastAsia="仿宋_GB2312"/>
          <w:sz w:val="32"/>
          <w:szCs w:val="32"/>
        </w:rPr>
        <w:t>万元，其中：人员经费</w:t>
      </w:r>
      <w:r>
        <w:rPr>
          <w:rFonts w:hint="eastAsia" w:ascii="仿宋_GB2312" w:hAnsi="ˎ̥" w:eastAsia="仿宋_GB2312"/>
          <w:sz w:val="32"/>
          <w:szCs w:val="32"/>
          <w:lang w:val="en-US"/>
        </w:rPr>
        <w:t>231.54</w:t>
      </w:r>
      <w:r>
        <w:rPr>
          <w:rFonts w:hint="eastAsia" w:ascii="仿宋_GB2312" w:hAnsi="ˎ̥" w:eastAsia="仿宋_GB2312"/>
          <w:sz w:val="32"/>
          <w:szCs w:val="32"/>
        </w:rPr>
        <w:t>万元，主要包括：工资福利支出中的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；对个人和家庭的补助中的离休费、退休费、退职（役）费、抚恤金、生活补助、救济费、医疗费补助、助学金、奖励金、个人农业生产补贴、代缴社会保险费、其他对个人和家庭的补助。公用经费</w:t>
      </w:r>
      <w:r>
        <w:rPr>
          <w:rFonts w:hint="eastAsia" w:ascii="仿宋_GB2312" w:hAnsi="ˎ̥" w:eastAsia="仿宋_GB2312"/>
          <w:sz w:val="32"/>
          <w:szCs w:val="32"/>
          <w:lang w:val="en-US"/>
        </w:rPr>
        <w:t>11.56</w:t>
      </w:r>
      <w:r>
        <w:rPr>
          <w:rFonts w:hint="eastAsia" w:ascii="仿宋_GB2312" w:hAnsi="ˎ̥" w:eastAsia="仿宋_GB2312"/>
          <w:sz w:val="32"/>
          <w:szCs w:val="32"/>
        </w:rPr>
        <w:t>万元，主要包括：商品和服务支出中的办公费、印刷费、咨询费、手续费、水费、电费、邮电费、取暖费、物业管理费、差旅费、因公出国（境）费用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；债务利息及费用支出中的国内债务付息及国外债务付息；资本性支出中的房屋建筑物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购</w:t>
      </w:r>
      <w:r>
        <w:rPr>
          <w:rFonts w:hint="eastAsia" w:ascii="仿宋_GB2312" w:hAnsi="ˎ̥" w:eastAsia="仿宋_GB2312"/>
          <w:sz w:val="32"/>
          <w:szCs w:val="32"/>
        </w:rPr>
        <w:t>建、办公设备购置、专用设备购置、基础设施建设、大型修缮、信息网络及软件购置更新、物资储备、土地补偿、安置补助、地上附着物和青苗补偿、拆迁补偿、公务用车购置、其他交通工具购置、文物和陈列品购置、无形资产购置、其他资本性支出等；其他支出中的赠予、国家赔偿费用支出、对民间非营利组织和群众性自治组织补贴和其他支出。</w:t>
      </w:r>
    </w:p>
    <w:p w14:paraId="6C24DF02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（注</w:t>
      </w:r>
      <w:r>
        <w:rPr>
          <w:rFonts w:ascii="仿宋_GB2312" w:hAnsi="ˎ̥" w:eastAsia="仿宋_GB2312"/>
          <w:sz w:val="32"/>
          <w:szCs w:val="32"/>
        </w:rPr>
        <w:t>：</w:t>
      </w:r>
      <w:r>
        <w:rPr>
          <w:rFonts w:hint="eastAsia" w:ascii="仿宋_GB2312" w:hAnsi="ˎ̥" w:eastAsia="仿宋_GB2312"/>
          <w:sz w:val="32"/>
          <w:szCs w:val="32"/>
        </w:rPr>
        <w:t>上述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数据</w:t>
      </w:r>
      <w:r>
        <w:rPr>
          <w:rFonts w:hint="eastAsia" w:ascii="仿宋_GB2312" w:hAnsi="ˎ̥" w:eastAsia="仿宋_GB2312"/>
          <w:sz w:val="32"/>
          <w:szCs w:val="32"/>
        </w:rPr>
        <w:t>可取自财决公开06表，各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ˎ̥" w:eastAsia="仿宋_GB2312"/>
          <w:sz w:val="32"/>
          <w:szCs w:val="32"/>
        </w:rPr>
        <w:t>部门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/>
          <w:sz w:val="32"/>
          <w:szCs w:val="32"/>
        </w:rPr>
        <w:t>单位根据实际支出情况，选列相应支出经济分类。）</w:t>
      </w:r>
    </w:p>
    <w:p w14:paraId="7241B08A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七、政府性基金预算财政拨款支出决算情况说明</w:t>
      </w:r>
    </w:p>
    <w:p w14:paraId="39926150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更章乡卫生院2024年度无政府性基金预算财政拨款支出。</w:t>
      </w:r>
    </w:p>
    <w:p w14:paraId="101E92BC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八、国有资本经营预算财政拨款支出决算情况说明</w:t>
      </w:r>
    </w:p>
    <w:p w14:paraId="54EE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更章乡卫生院2024年度无无国有资本经营预算财政拨款支出。</w:t>
      </w:r>
    </w:p>
    <w:p w14:paraId="5834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仿宋_GB2312" w:hAnsi="ˎ̥" w:eastAsia="楷体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九、财政拨款“三公”经费支出决算情况说明</w:t>
      </w:r>
    </w:p>
    <w:p w14:paraId="3977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八一镇卫生院2024年度无财政拨款“三公”经费预算财政拨款支出。</w:t>
      </w:r>
    </w:p>
    <w:p w14:paraId="3B81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十、预算绩效情况说明</w:t>
      </w:r>
    </w:p>
    <w:p w14:paraId="70E0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本单位预算绩效自评工作已完成，自评结果为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，本次绩效评价结果客观反映了年度资金使用效率和工作落实成效，为后续制定年度工作计划、设定绩效目标提供了重要参考。</w:t>
      </w:r>
    </w:p>
    <w:p w14:paraId="7FDC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十一、其他重要事项情况说明</w:t>
      </w:r>
    </w:p>
    <w:p w14:paraId="419A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无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E08A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18</w:t>
    </w:r>
    <w:r>
      <w:fldChar w:fldCharType="end"/>
    </w:r>
  </w:p>
  <w:p w14:paraId="1BD1ED8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F60F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07FD915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CB51B"/>
    <w:multiLevelType w:val="singleLevel"/>
    <w:tmpl w:val="3DFCB5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AA7FC7"/>
    <w:multiLevelType w:val="singleLevel"/>
    <w:tmpl w:val="65AA7F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109F8D"/>
    <w:multiLevelType w:val="singleLevel"/>
    <w:tmpl w:val="72109F8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2JhZGEwNGY4MWI0MzM3MTE4NTM3OTVjZGUxNzIifQ=="/>
  </w:docVars>
  <w:rsids>
    <w:rsidRoot w:val="A7F73C99"/>
    <w:rsid w:val="00064A91"/>
    <w:rsid w:val="000718C4"/>
    <w:rsid w:val="000779B0"/>
    <w:rsid w:val="001E4E23"/>
    <w:rsid w:val="001E510D"/>
    <w:rsid w:val="001F28C1"/>
    <w:rsid w:val="001F4EC0"/>
    <w:rsid w:val="00213789"/>
    <w:rsid w:val="002A6E07"/>
    <w:rsid w:val="0034456B"/>
    <w:rsid w:val="003D2F77"/>
    <w:rsid w:val="004C755C"/>
    <w:rsid w:val="004D515A"/>
    <w:rsid w:val="004D5572"/>
    <w:rsid w:val="0050273F"/>
    <w:rsid w:val="00513897"/>
    <w:rsid w:val="00530C81"/>
    <w:rsid w:val="005C43A2"/>
    <w:rsid w:val="005E64FB"/>
    <w:rsid w:val="005F5987"/>
    <w:rsid w:val="00602EED"/>
    <w:rsid w:val="006B0D64"/>
    <w:rsid w:val="00731FC7"/>
    <w:rsid w:val="00740E64"/>
    <w:rsid w:val="00754F6E"/>
    <w:rsid w:val="007A4101"/>
    <w:rsid w:val="008232A9"/>
    <w:rsid w:val="00896ADB"/>
    <w:rsid w:val="009A2744"/>
    <w:rsid w:val="00A54A37"/>
    <w:rsid w:val="00A70448"/>
    <w:rsid w:val="00AA19F3"/>
    <w:rsid w:val="00AC28EE"/>
    <w:rsid w:val="00AC3F0E"/>
    <w:rsid w:val="00B36E61"/>
    <w:rsid w:val="00B409FF"/>
    <w:rsid w:val="00B4133E"/>
    <w:rsid w:val="00B54DE8"/>
    <w:rsid w:val="00B63E9E"/>
    <w:rsid w:val="00BC0439"/>
    <w:rsid w:val="00C04C21"/>
    <w:rsid w:val="00C7436A"/>
    <w:rsid w:val="00CA0F14"/>
    <w:rsid w:val="00CA536B"/>
    <w:rsid w:val="00CB0D1E"/>
    <w:rsid w:val="00CD6E49"/>
    <w:rsid w:val="00CD794A"/>
    <w:rsid w:val="00DB612B"/>
    <w:rsid w:val="00DC2A37"/>
    <w:rsid w:val="00E07782"/>
    <w:rsid w:val="00E70EA3"/>
    <w:rsid w:val="00F0336A"/>
    <w:rsid w:val="00F06DA9"/>
    <w:rsid w:val="00F103D6"/>
    <w:rsid w:val="00F25220"/>
    <w:rsid w:val="00FA2884"/>
    <w:rsid w:val="00FC03DC"/>
    <w:rsid w:val="00FC5708"/>
    <w:rsid w:val="08DD2784"/>
    <w:rsid w:val="09201287"/>
    <w:rsid w:val="0DA60233"/>
    <w:rsid w:val="0FC80124"/>
    <w:rsid w:val="136F98C7"/>
    <w:rsid w:val="15A703A2"/>
    <w:rsid w:val="17427E68"/>
    <w:rsid w:val="1755065F"/>
    <w:rsid w:val="1AFC29C9"/>
    <w:rsid w:val="1CA52F2E"/>
    <w:rsid w:val="1DFE370B"/>
    <w:rsid w:val="1E3630B9"/>
    <w:rsid w:val="20E424AA"/>
    <w:rsid w:val="26EEC2B5"/>
    <w:rsid w:val="28642123"/>
    <w:rsid w:val="29472309"/>
    <w:rsid w:val="2B406E77"/>
    <w:rsid w:val="2B620B9B"/>
    <w:rsid w:val="2C2A0C43"/>
    <w:rsid w:val="2D1E73A5"/>
    <w:rsid w:val="2F45433B"/>
    <w:rsid w:val="2F4B7B98"/>
    <w:rsid w:val="32717154"/>
    <w:rsid w:val="34B63260"/>
    <w:rsid w:val="37FDA7E2"/>
    <w:rsid w:val="3A314D88"/>
    <w:rsid w:val="3A746883"/>
    <w:rsid w:val="3CA15DE9"/>
    <w:rsid w:val="3FE61EE5"/>
    <w:rsid w:val="406508EE"/>
    <w:rsid w:val="408D6263"/>
    <w:rsid w:val="41B40CEE"/>
    <w:rsid w:val="48317291"/>
    <w:rsid w:val="485F7024"/>
    <w:rsid w:val="48E70666"/>
    <w:rsid w:val="4C6877E5"/>
    <w:rsid w:val="4D6A468D"/>
    <w:rsid w:val="4EA86137"/>
    <w:rsid w:val="56CA7FD0"/>
    <w:rsid w:val="579523B7"/>
    <w:rsid w:val="57FA38D1"/>
    <w:rsid w:val="5F7D3333"/>
    <w:rsid w:val="61385890"/>
    <w:rsid w:val="6504510C"/>
    <w:rsid w:val="687436E1"/>
    <w:rsid w:val="6DA45C50"/>
    <w:rsid w:val="6E9A7825"/>
    <w:rsid w:val="6F670F9B"/>
    <w:rsid w:val="737450E0"/>
    <w:rsid w:val="74054476"/>
    <w:rsid w:val="742F38C4"/>
    <w:rsid w:val="74AB66DC"/>
    <w:rsid w:val="74C4154C"/>
    <w:rsid w:val="75956FFF"/>
    <w:rsid w:val="77AA2D01"/>
    <w:rsid w:val="7BE73D72"/>
    <w:rsid w:val="7CDE1DBD"/>
    <w:rsid w:val="7D943A85"/>
    <w:rsid w:val="7DB0448C"/>
    <w:rsid w:val="7E5F9AA4"/>
    <w:rsid w:val="8FFC8888"/>
    <w:rsid w:val="A7F73C99"/>
    <w:rsid w:val="BFFE3BF4"/>
    <w:rsid w:val="DFEBDA37"/>
    <w:rsid w:val="EF6FCA1D"/>
    <w:rsid w:val="EFFF57D6"/>
    <w:rsid w:val="FD33A2D0"/>
    <w:rsid w:val="FF7FA20F"/>
    <w:rsid w:val="FFFE8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b/>
      <w:bCs/>
      <w:kern w:val="2"/>
      <w:sz w:val="21"/>
      <w:szCs w:val="24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正文1 Char Char Char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2741</Words>
  <Characters>3169</Characters>
  <Lines>67</Lines>
  <Paragraphs>18</Paragraphs>
  <TotalTime>5</TotalTime>
  <ScaleCrop>false</ScaleCrop>
  <LinksUpToDate>false</LinksUpToDate>
  <CharactersWithSpaces>3231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2024-07-24T03:26:00Z</dcterms:created>
  <dc:creator>uos</dc:creator>
  <cp:lastModifiedBy>，，无悔之心</cp:lastModifiedBy>
  <cp:lastPrinted>2023-08-03T00:58:00Z</cp:lastPrinted>
  <dcterms:modified xsi:type="dcterms:W3CDTF">2025-12-31T10:31:02Z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62BEC4820EE04D218B436F3F82916A05_13</vt:lpwstr>
  </property>
  <property fmtid="{D5CDD505-2E9C-101B-9397-08002B2CF9AE}" pid="4" name="KSOTemplateDocerSaveRecord">
    <vt:lpwstr>eyJoZGlkIjoiZDk2NmZkMjFmYThjODE4NjczYzM2NTBlZDE5ZTBhMjQiLCJ1c2VySWQiOiI2MDY4NTU4MjgifQ==</vt:lpwstr>
  </property>
</Properties>
</file>