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E937B">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巴宜区人民医院机关2024年度部门决算公开报告</w:t>
      </w:r>
    </w:p>
    <w:p w14:paraId="1AEDB763">
      <w:pPr>
        <w:spacing w:line="578" w:lineRule="exact"/>
        <w:jc w:val="center"/>
        <w:rPr>
          <w:rFonts w:hint="eastAsia" w:ascii="黑体" w:hAnsi="ˎ̥" w:eastAsia="黑体"/>
          <w:b/>
          <w:color w:val="auto"/>
          <w:sz w:val="32"/>
          <w:szCs w:val="32"/>
        </w:rPr>
      </w:pPr>
    </w:p>
    <w:p w14:paraId="4A8A62D9">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14:paraId="39743869">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14:paraId="213018F6">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6079E22D">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7689FCEC">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14:paraId="1AF72B0F">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14:paraId="67EB0724">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14:paraId="6403F7C9">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608A8887">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162F4EAB">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4E0212E9">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14:paraId="7AD573C2">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14:paraId="75235543">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14:paraId="171DF516">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14:paraId="4C8FC37B">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14:paraId="37092C63">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14:paraId="042A7FF9">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14:paraId="12FE8B40">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14:paraId="2222A9B6">
      <w:pPr>
        <w:spacing w:line="578" w:lineRule="exact"/>
        <w:jc w:val="both"/>
        <w:rPr>
          <w:rFonts w:hint="eastAsia" w:ascii="黑体" w:hAnsi="ˎ̥" w:eastAsia="黑体"/>
          <w:color w:val="auto"/>
          <w:sz w:val="32"/>
          <w:szCs w:val="32"/>
        </w:rPr>
      </w:pPr>
      <w:bookmarkStart w:id="2" w:name="_Toc22941_WPSOffice_Level1"/>
      <w:bookmarkStart w:id="3" w:name="_Toc32433_WPSOffice_Level1"/>
      <w:bookmarkStart w:id="4" w:name="_Toc23465_WPSOffice_Level1"/>
      <w:bookmarkStart w:id="5" w:name="_Toc1704_WPSOffice_Level1"/>
      <w:bookmarkStart w:id="6" w:name="_Toc10720_WPSOffice_Level1"/>
      <w:bookmarkStart w:id="7" w:name="_Toc10049_WPSOffice_Level1"/>
      <w:bookmarkStart w:id="8" w:name="_Toc24238_WPSOffice_Level2"/>
      <w:bookmarkStart w:id="9" w:name="_Toc20205_WPSOffice_Level2"/>
      <w:bookmarkStart w:id="10" w:name="_Toc26580_WPSOffice_Level2"/>
      <w:bookmarkStart w:id="11" w:name="_Toc20274_WPSOffice_Level2"/>
      <w:bookmarkStart w:id="12" w:name="_Toc32622_WPSOffice_Level2"/>
      <w:bookmarkStart w:id="13" w:name="_Toc14159_WPSOffice_Level2"/>
    </w:p>
    <w:p w14:paraId="59E2B7D2">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14:paraId="191B314F">
      <w:pPr>
        <w:spacing w:line="578" w:lineRule="exact"/>
        <w:ind w:firstLine="640" w:firstLineChars="200"/>
        <w:rPr>
          <w:rFonts w:hint="eastAsia" w:ascii="楷体" w:hAnsi="楷体" w:eastAsia="楷体" w:cs="楷体"/>
          <w:color w:val="auto"/>
          <w:sz w:val="32"/>
          <w:szCs w:val="32"/>
        </w:rPr>
      </w:pPr>
    </w:p>
    <w:p w14:paraId="08907904">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14:paraId="08A667F7">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（1）坚持以“病人为中心”，坚持开展“救死扶伤”工作，积极为巴宜区的健康事业做贡献。</w:t>
      </w:r>
    </w:p>
    <w:p w14:paraId="12CBA105">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（2）承担巴宜区范围内人群的医疗卫生服务和一定的卫生行政工作。</w:t>
      </w:r>
    </w:p>
    <w:p w14:paraId="3A2F802F">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（3）经常开展妇幼保健卫生宣传，开展调查、研究、科研等工作。</w:t>
      </w:r>
    </w:p>
    <w:p w14:paraId="3417291B">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（4）掌握本地区妇幼保健工作方面的重要数据、指标，及时反映存在的问题，提出意见当好参谋。</w:t>
      </w:r>
    </w:p>
    <w:p w14:paraId="15C82E43">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（5）积极开展妇幼保健工作，开展妇幼常见病、多发病的普查、普治，推广科学接生等工作。</w:t>
      </w:r>
    </w:p>
    <w:p w14:paraId="6B2D92D4">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（6）负责健康教育与健康督促工作，向社会提供相关的预防保健信息、健康咨询和预防医学诊疗等专业技术服务，利用相关疾病预防控制信息，促进全社会共同开展健康教育与健康促进工作。</w:t>
      </w:r>
    </w:p>
    <w:p w14:paraId="6993F82E">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（7）承担巴宜区、乡</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镇</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卫生技术人员的业务培训和指导工作</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解决疑难性技术问题。</w:t>
      </w:r>
    </w:p>
    <w:p w14:paraId="527468AD">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（8）开展日常接诊工作</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同时承担突发公共卫生事件应急任务</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并做好双向转诊工作</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接纳成批病员的救治任务。</w:t>
      </w:r>
    </w:p>
    <w:p w14:paraId="1DE9AE88">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（9）开展健康教育</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掌握辖区内的病种动态</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参与辖区内预防、保健、康复等服务工作。</w:t>
      </w:r>
    </w:p>
    <w:p w14:paraId="5D8BD416">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（10）围绕巴宜区委、政府中心工作</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开展全巴宜区范围内医疗发展决策工作</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为巴宜区委、政府提供科学参考依据。</w:t>
      </w:r>
    </w:p>
    <w:p w14:paraId="225931E8">
      <w:pPr>
        <w:snapToGrid w:val="0"/>
        <w:spacing w:line="520" w:lineRule="exact"/>
        <w:ind w:firstLine="640" w:firstLineChars="200"/>
        <w:rPr>
          <w:rFonts w:hint="eastAsia" w:ascii="黑体" w:hAnsi="黑体" w:eastAsia="黑体" w:cs="黑体"/>
          <w:color w:val="auto"/>
          <w:sz w:val="32"/>
          <w:szCs w:val="32"/>
        </w:rPr>
      </w:pPr>
      <w:r>
        <w:rPr>
          <w:rFonts w:hint="eastAsia" w:ascii="仿宋_GB2312" w:hAnsi="仿宋" w:eastAsia="仿宋_GB2312"/>
          <w:color w:val="auto"/>
          <w:sz w:val="32"/>
          <w:szCs w:val="32"/>
          <w:highlight w:val="none"/>
        </w:rPr>
        <w:t>（11）承办上级部门交办的其它工作。</w:t>
      </w:r>
    </w:p>
    <w:p w14:paraId="0EADB561">
      <w:pPr>
        <w:spacing w:line="578" w:lineRule="exact"/>
        <w:ind w:firstLine="640" w:firstLineChars="200"/>
        <w:rPr>
          <w:rFonts w:hint="eastAsia" w:ascii="黑体" w:hAnsi="黑体" w:eastAsia="黑体" w:cs="黑体"/>
          <w:color w:val="auto"/>
          <w:sz w:val="32"/>
          <w:szCs w:val="32"/>
        </w:rPr>
      </w:pPr>
      <w:bookmarkStart w:id="14" w:name="_Toc6572_WPSOffice_Level2"/>
      <w:bookmarkStart w:id="15" w:name="_Toc24059_WPSOffice_Level2"/>
      <w:bookmarkStart w:id="16" w:name="_Toc4833_WPSOffice_Level2"/>
      <w:bookmarkStart w:id="17" w:name="_Toc17796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14:paraId="7C72FD9E">
      <w:pPr>
        <w:snapToGrid w:val="0"/>
        <w:spacing w:line="520"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eastAsia="zh-CN"/>
        </w:rPr>
        <w:t>巴宜区人民医院机关</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r>
        <w:rPr>
          <w:rFonts w:hint="eastAsia" w:ascii="仿宋_GB2312" w:hAnsi="ˎ̥" w:eastAsia="仿宋_GB2312"/>
          <w:color w:val="auto"/>
          <w:sz w:val="32"/>
          <w:szCs w:val="32"/>
          <w:lang w:eastAsia="zh-CN"/>
        </w:rPr>
        <w:t>巴宜区人民医院。</w:t>
      </w:r>
    </w:p>
    <w:p w14:paraId="6C0A8143">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部门内设科室15个</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包括急诊科、内科、外科、儿科、妇产科、口腔科、手术室、感染科、计划免疫科、妇幼保健</w:t>
      </w:r>
      <w:r>
        <w:rPr>
          <w:rFonts w:hint="eastAsia" w:ascii="仿宋_GB2312" w:hAnsi="仿宋" w:eastAsia="仿宋_GB2312"/>
          <w:color w:val="auto"/>
          <w:sz w:val="32"/>
          <w:szCs w:val="32"/>
          <w:highlight w:val="none"/>
          <w:lang w:eastAsia="zh-CN"/>
        </w:rPr>
        <w:t>科</w:t>
      </w:r>
      <w:r>
        <w:rPr>
          <w:rFonts w:hint="eastAsia" w:ascii="仿宋_GB2312" w:hAnsi="仿宋" w:eastAsia="仿宋_GB2312"/>
          <w:color w:val="auto"/>
          <w:sz w:val="32"/>
          <w:szCs w:val="32"/>
          <w:highlight w:val="none"/>
        </w:rPr>
        <w:t>、放射科、检验科、B超室、胃镜室、康复科。</w:t>
      </w:r>
    </w:p>
    <w:p w14:paraId="23C6D7CB">
      <w:pPr>
        <w:spacing w:line="578" w:lineRule="exact"/>
        <w:ind w:firstLine="640" w:firstLineChars="200"/>
        <w:rPr>
          <w:rFonts w:hint="eastAsia" w:ascii="仿宋_GB2312" w:hAnsi="ˎ̥" w:eastAsia="仿宋_GB2312"/>
          <w:color w:val="auto"/>
          <w:sz w:val="32"/>
          <w:szCs w:val="32"/>
          <w:lang w:eastAsia="zh-CN"/>
        </w:rPr>
      </w:pPr>
    </w:p>
    <w:p w14:paraId="1CAE215B">
      <w:pPr>
        <w:spacing w:line="578" w:lineRule="exact"/>
        <w:ind w:firstLine="640" w:firstLineChars="200"/>
        <w:rPr>
          <w:rFonts w:hint="eastAsia" w:ascii="仿宋_GB2312" w:hAnsi="ˎ̥" w:eastAsia="仿宋_GB2312"/>
          <w:color w:val="auto"/>
          <w:sz w:val="32"/>
          <w:szCs w:val="32"/>
          <w:lang w:eastAsia="zh-CN"/>
        </w:rPr>
      </w:pPr>
    </w:p>
    <w:p w14:paraId="0A6A2AE6">
      <w:pPr>
        <w:spacing w:line="578" w:lineRule="exact"/>
        <w:ind w:firstLine="640" w:firstLineChars="200"/>
        <w:rPr>
          <w:rFonts w:hint="eastAsia" w:ascii="仿宋_GB2312" w:hAnsi="ˎ̥" w:eastAsia="仿宋_GB2312"/>
          <w:color w:val="auto"/>
          <w:sz w:val="32"/>
          <w:szCs w:val="32"/>
          <w:lang w:eastAsia="zh-CN"/>
        </w:rPr>
      </w:pPr>
    </w:p>
    <w:p w14:paraId="09F29838">
      <w:pPr>
        <w:spacing w:line="578" w:lineRule="exact"/>
        <w:ind w:firstLine="640" w:firstLineChars="200"/>
        <w:rPr>
          <w:rFonts w:hint="eastAsia" w:ascii="仿宋_GB2312" w:hAnsi="ˎ̥" w:eastAsia="仿宋_GB2312"/>
          <w:color w:val="auto"/>
          <w:sz w:val="32"/>
          <w:szCs w:val="32"/>
          <w:lang w:eastAsia="zh-CN"/>
        </w:rPr>
      </w:pPr>
    </w:p>
    <w:p w14:paraId="00AA916A">
      <w:pPr>
        <w:spacing w:line="578" w:lineRule="exact"/>
        <w:ind w:firstLine="640" w:firstLineChars="200"/>
        <w:rPr>
          <w:rFonts w:hint="eastAsia" w:ascii="仿宋_GB2312" w:hAnsi="ˎ̥" w:eastAsia="仿宋_GB2312"/>
          <w:color w:val="auto"/>
          <w:sz w:val="32"/>
          <w:szCs w:val="32"/>
          <w:lang w:eastAsia="zh-CN"/>
        </w:rPr>
      </w:pPr>
    </w:p>
    <w:p w14:paraId="36F022DB">
      <w:pPr>
        <w:spacing w:line="578" w:lineRule="exact"/>
        <w:ind w:firstLine="640" w:firstLineChars="200"/>
        <w:rPr>
          <w:rFonts w:hint="eastAsia" w:ascii="仿宋_GB2312" w:hAnsi="ˎ̥" w:eastAsia="仿宋_GB2312"/>
          <w:color w:val="auto"/>
          <w:sz w:val="32"/>
          <w:szCs w:val="32"/>
          <w:lang w:eastAsia="zh-CN"/>
        </w:rPr>
      </w:pPr>
    </w:p>
    <w:p w14:paraId="734022B2">
      <w:pPr>
        <w:spacing w:line="578" w:lineRule="exact"/>
        <w:ind w:firstLine="640" w:firstLineChars="200"/>
        <w:rPr>
          <w:rFonts w:hint="eastAsia" w:ascii="仿宋_GB2312" w:hAnsi="ˎ̥" w:eastAsia="仿宋_GB2312"/>
          <w:color w:val="auto"/>
          <w:sz w:val="32"/>
          <w:szCs w:val="32"/>
          <w:lang w:eastAsia="zh-CN"/>
        </w:rPr>
      </w:pPr>
    </w:p>
    <w:p w14:paraId="671D00FD">
      <w:pPr>
        <w:spacing w:line="578" w:lineRule="exact"/>
        <w:ind w:firstLine="640" w:firstLineChars="200"/>
        <w:rPr>
          <w:rFonts w:hint="eastAsia" w:ascii="仿宋_GB2312" w:hAnsi="ˎ̥" w:eastAsia="仿宋_GB2312"/>
          <w:color w:val="auto"/>
          <w:sz w:val="32"/>
          <w:szCs w:val="32"/>
          <w:lang w:eastAsia="zh-CN"/>
        </w:rPr>
      </w:pPr>
    </w:p>
    <w:p w14:paraId="468A3225">
      <w:pPr>
        <w:spacing w:line="578" w:lineRule="exact"/>
        <w:ind w:firstLine="640" w:firstLineChars="200"/>
        <w:rPr>
          <w:rFonts w:hint="eastAsia" w:ascii="仿宋_GB2312" w:hAnsi="ˎ̥" w:eastAsia="仿宋_GB2312"/>
          <w:color w:val="auto"/>
          <w:sz w:val="32"/>
          <w:szCs w:val="32"/>
          <w:lang w:eastAsia="zh-CN"/>
        </w:rPr>
      </w:pPr>
    </w:p>
    <w:p w14:paraId="538B8695">
      <w:pPr>
        <w:spacing w:line="578" w:lineRule="exact"/>
        <w:ind w:firstLine="640" w:firstLineChars="200"/>
        <w:rPr>
          <w:rFonts w:hint="eastAsia" w:ascii="仿宋_GB2312" w:hAnsi="ˎ̥" w:eastAsia="仿宋_GB2312"/>
          <w:color w:val="auto"/>
          <w:sz w:val="32"/>
          <w:szCs w:val="32"/>
          <w:lang w:eastAsia="zh-CN"/>
        </w:rPr>
      </w:pPr>
    </w:p>
    <w:p w14:paraId="7045CEB0">
      <w:pPr>
        <w:spacing w:line="578" w:lineRule="exact"/>
        <w:ind w:firstLine="640" w:firstLineChars="200"/>
        <w:rPr>
          <w:rFonts w:hint="eastAsia" w:ascii="仿宋_GB2312" w:hAnsi="ˎ̥" w:eastAsia="仿宋_GB2312"/>
          <w:color w:val="auto"/>
          <w:sz w:val="32"/>
          <w:szCs w:val="32"/>
          <w:lang w:eastAsia="zh-CN"/>
        </w:rPr>
      </w:pPr>
    </w:p>
    <w:p w14:paraId="4985F835">
      <w:pPr>
        <w:spacing w:line="578" w:lineRule="exact"/>
        <w:ind w:firstLine="640" w:firstLineChars="200"/>
        <w:rPr>
          <w:rFonts w:hint="eastAsia" w:ascii="仿宋_GB2312" w:hAnsi="ˎ̥" w:eastAsia="仿宋_GB2312"/>
          <w:color w:val="auto"/>
          <w:sz w:val="32"/>
          <w:szCs w:val="32"/>
          <w:lang w:eastAsia="zh-CN"/>
        </w:rPr>
      </w:pPr>
    </w:p>
    <w:p w14:paraId="05AA9855">
      <w:pPr>
        <w:spacing w:line="578" w:lineRule="exact"/>
        <w:ind w:firstLine="640" w:firstLineChars="200"/>
        <w:rPr>
          <w:rFonts w:hint="eastAsia" w:ascii="仿宋_GB2312" w:hAnsi="ˎ̥" w:eastAsia="仿宋_GB2312"/>
          <w:color w:val="auto"/>
          <w:sz w:val="32"/>
          <w:szCs w:val="32"/>
          <w:lang w:eastAsia="zh-CN"/>
        </w:rPr>
      </w:pPr>
    </w:p>
    <w:p w14:paraId="43895139">
      <w:pPr>
        <w:spacing w:line="578" w:lineRule="exact"/>
        <w:jc w:val="center"/>
        <w:rPr>
          <w:rFonts w:hint="eastAsia" w:ascii="黑体" w:hAnsi="ˎ̥" w:eastAsia="黑体"/>
          <w:color w:val="auto"/>
          <w:sz w:val="32"/>
          <w:szCs w:val="32"/>
        </w:rPr>
      </w:pPr>
      <w:bookmarkStart w:id="19" w:name="_Toc8164_WPSOffice_Level1"/>
      <w:bookmarkStart w:id="20" w:name="_Toc15521_WPSOffice_Level1"/>
      <w:bookmarkStart w:id="21" w:name="_Toc30451_WPSOffice_Level1"/>
      <w:bookmarkStart w:id="22" w:name="_Toc6234_WPSOffice_Level1"/>
      <w:bookmarkStart w:id="23" w:name="_Toc28253_WPSOffice_Level1"/>
      <w:bookmarkStart w:id="24" w:name="_Toc30690_WPSOffice_Level1"/>
      <w:bookmarkStart w:id="25" w:name="_Toc6211_WPSOffice_Level2"/>
      <w:bookmarkStart w:id="26" w:name="_Toc32472_WPSOffice_Level2"/>
      <w:bookmarkStart w:id="27" w:name="_Toc32695_WPSOffice_Level2"/>
      <w:bookmarkStart w:id="28" w:name="_Toc8867_WPSOffice_Level2"/>
      <w:bookmarkStart w:id="29" w:name="_Toc11518_WPSOffice_Level2"/>
      <w:bookmarkStart w:id="30" w:name="_Toc4029_WPSOffice_Level2"/>
    </w:p>
    <w:p w14:paraId="5C625477">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14:paraId="453ADB57">
      <w:pPr>
        <w:spacing w:line="578" w:lineRule="exact"/>
        <w:ind w:firstLine="645"/>
        <w:rPr>
          <w:rFonts w:hint="eastAsia" w:ascii="黑体" w:hAnsi="黑体" w:eastAsia="黑体" w:cs="黑体"/>
          <w:color w:val="auto"/>
          <w:sz w:val="32"/>
          <w:szCs w:val="32"/>
        </w:rPr>
      </w:pPr>
    </w:p>
    <w:p w14:paraId="14878B90">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14:paraId="0DC054FC">
      <w:pPr>
        <w:spacing w:line="578" w:lineRule="exact"/>
        <w:ind w:firstLine="645"/>
        <w:rPr>
          <w:rFonts w:hint="eastAsia" w:ascii="黑体" w:hAnsi="黑体" w:eastAsia="黑体" w:cs="黑体"/>
          <w:color w:val="auto"/>
          <w:sz w:val="32"/>
          <w:szCs w:val="32"/>
        </w:rPr>
      </w:pPr>
      <w:bookmarkStart w:id="31" w:name="_Toc23139_WPSOffice_Level2"/>
      <w:bookmarkStart w:id="32" w:name="_Toc25608_WPSOffice_Level2"/>
      <w:bookmarkStart w:id="33" w:name="_Toc28622_WPSOffice_Level2"/>
      <w:bookmarkStart w:id="34" w:name="_Toc30334_WPSOffice_Level2"/>
      <w:bookmarkStart w:id="35" w:name="_Toc14349_WPSOffice_Level2"/>
      <w:bookmarkStart w:id="36" w:name="_Toc26621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4658_WPSOffice_Level2"/>
      <w:bookmarkStart w:id="38" w:name="_Toc13854_WPSOffice_Level2"/>
      <w:bookmarkStart w:id="39" w:name="_Toc17626_WPSOffice_Level2"/>
      <w:bookmarkStart w:id="40" w:name="_Toc3262_WPSOffice_Level2"/>
      <w:bookmarkStart w:id="41" w:name="_Toc5489_WPSOffice_Level2"/>
      <w:bookmarkStart w:id="42" w:name="_Toc17858_WPSOffice_Level2"/>
    </w:p>
    <w:p w14:paraId="29E52F76">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23591_WPSOffice_Level2"/>
      <w:bookmarkStart w:id="44" w:name="_Toc7988_WPSOffice_Level2"/>
      <w:bookmarkStart w:id="45" w:name="_Toc4265_WPSOffice_Level2"/>
      <w:bookmarkStart w:id="46" w:name="_Toc21415_WPSOffice_Level2"/>
      <w:bookmarkStart w:id="47" w:name="_Toc13701_WPSOffice_Level2"/>
      <w:bookmarkStart w:id="48" w:name="_Toc23493_WPSOffice_Level2"/>
    </w:p>
    <w:p w14:paraId="336EF667">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14:paraId="1FC065BD">
      <w:pPr>
        <w:spacing w:line="578" w:lineRule="exact"/>
        <w:ind w:firstLine="645"/>
        <w:rPr>
          <w:rFonts w:hint="eastAsia" w:ascii="黑体" w:hAnsi="黑体" w:eastAsia="黑体" w:cs="黑体"/>
          <w:color w:val="auto"/>
          <w:sz w:val="32"/>
          <w:szCs w:val="32"/>
        </w:rPr>
      </w:pPr>
      <w:bookmarkStart w:id="49" w:name="_Toc7879_WPSOffice_Level2"/>
      <w:bookmarkStart w:id="50" w:name="_Toc25166_WPSOffice_Level2"/>
      <w:bookmarkStart w:id="51" w:name="_Toc23829_WPSOffice_Level2"/>
      <w:bookmarkStart w:id="52" w:name="_Toc22783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5343_WPSOffice_Level2"/>
      <w:bookmarkStart w:id="56" w:name="_Toc17283_WPSOffice_Level2"/>
      <w:bookmarkStart w:id="57" w:name="_Toc2632_WPSOffice_Level2"/>
      <w:bookmarkStart w:id="58" w:name="_Toc17833_WPSOffice_Level2"/>
      <w:bookmarkStart w:id="59" w:name="_Toc25362_WPSOffice_Level2"/>
      <w:bookmarkStart w:id="60" w:name="_Toc8373_WPSOffice_Level2"/>
    </w:p>
    <w:p w14:paraId="767BCCA7">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14:paraId="36563461">
      <w:pPr>
        <w:spacing w:line="578" w:lineRule="exact"/>
        <w:ind w:left="1118" w:leftChars="304" w:hanging="480" w:hangingChars="150"/>
        <w:rPr>
          <w:rFonts w:hint="eastAsia" w:ascii="黑体" w:hAnsi="黑体" w:eastAsia="黑体" w:cs="黑体"/>
          <w:color w:val="auto"/>
          <w:sz w:val="32"/>
          <w:szCs w:val="32"/>
        </w:rPr>
      </w:pPr>
      <w:bookmarkStart w:id="61" w:name="_Toc13345_WPSOffice_Level2"/>
      <w:bookmarkStart w:id="62" w:name="_Toc6020_WPSOffice_Level2"/>
      <w:bookmarkStart w:id="63" w:name="_Toc1533_WPSOffice_Level2"/>
      <w:bookmarkStart w:id="64" w:name="_Toc11799_WPSOffice_Level2"/>
      <w:bookmarkStart w:id="65" w:name="_Toc5594_WPSOffice_Level2"/>
      <w:bookmarkStart w:id="66" w:name="_Toc21310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14:paraId="547BE9E4">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14:paraId="701DF6FA">
      <w:pPr>
        <w:spacing w:line="578" w:lineRule="exact"/>
        <w:ind w:firstLine="640"/>
        <w:rPr>
          <w:rFonts w:hint="eastAsia" w:ascii="黑体" w:hAnsi="黑体" w:eastAsia="黑体" w:cs="黑体"/>
          <w:color w:val="auto"/>
          <w:sz w:val="32"/>
          <w:szCs w:val="32"/>
        </w:rPr>
      </w:pPr>
      <w:bookmarkStart w:id="67" w:name="_Toc9377_WPSOffice_Level2"/>
      <w:bookmarkStart w:id="68" w:name="_Toc19961_WPSOffice_Level2"/>
      <w:bookmarkStart w:id="69" w:name="_Toc29886_WPSOffice_Level2"/>
      <w:bookmarkStart w:id="70" w:name="_Toc1820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14:paraId="7B682877">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14:paraId="07DFAA7D">
      <w:pPr>
        <w:spacing w:line="578" w:lineRule="exact"/>
        <w:ind w:firstLine="640"/>
        <w:rPr>
          <w:rFonts w:hint="eastAsia" w:ascii="黑体" w:hAnsi="黑体" w:eastAsia="黑体" w:cs="黑体"/>
          <w:color w:val="auto"/>
          <w:sz w:val="32"/>
          <w:szCs w:val="32"/>
        </w:rPr>
      </w:pPr>
    </w:p>
    <w:p w14:paraId="6F28AAF8">
      <w:pPr>
        <w:spacing w:line="578" w:lineRule="exact"/>
        <w:ind w:firstLine="640"/>
        <w:rPr>
          <w:rFonts w:hint="eastAsia" w:ascii="黑体" w:hAnsi="黑体" w:eastAsia="黑体" w:cs="黑体"/>
          <w:color w:val="auto"/>
          <w:sz w:val="32"/>
          <w:szCs w:val="32"/>
        </w:rPr>
      </w:pPr>
    </w:p>
    <w:p w14:paraId="6820F57C">
      <w:pPr>
        <w:spacing w:line="578" w:lineRule="exact"/>
        <w:ind w:firstLine="640"/>
        <w:rPr>
          <w:rFonts w:hint="eastAsia" w:ascii="黑体" w:hAnsi="黑体" w:eastAsia="黑体" w:cs="黑体"/>
          <w:color w:val="auto"/>
          <w:sz w:val="32"/>
          <w:szCs w:val="32"/>
        </w:rPr>
      </w:pPr>
    </w:p>
    <w:p w14:paraId="4BB505B2">
      <w:pPr>
        <w:spacing w:line="578" w:lineRule="exact"/>
        <w:ind w:firstLine="640"/>
        <w:rPr>
          <w:rFonts w:hint="eastAsia" w:ascii="黑体" w:hAnsi="黑体" w:eastAsia="黑体" w:cs="黑体"/>
          <w:color w:val="auto"/>
          <w:sz w:val="32"/>
          <w:szCs w:val="32"/>
        </w:rPr>
      </w:pPr>
    </w:p>
    <w:p w14:paraId="67258630">
      <w:pPr>
        <w:spacing w:line="578" w:lineRule="exact"/>
        <w:ind w:firstLine="640"/>
        <w:rPr>
          <w:rFonts w:hint="eastAsia" w:ascii="黑体" w:hAnsi="黑体" w:eastAsia="黑体" w:cs="黑体"/>
          <w:color w:val="auto"/>
          <w:sz w:val="32"/>
          <w:szCs w:val="32"/>
        </w:rPr>
      </w:pPr>
    </w:p>
    <w:p w14:paraId="70255973">
      <w:pPr>
        <w:spacing w:line="578" w:lineRule="exact"/>
        <w:ind w:firstLine="640"/>
        <w:rPr>
          <w:rFonts w:hint="eastAsia" w:ascii="黑体" w:hAnsi="黑体" w:eastAsia="黑体" w:cs="黑体"/>
          <w:color w:val="auto"/>
          <w:sz w:val="32"/>
          <w:szCs w:val="32"/>
        </w:rPr>
      </w:pPr>
    </w:p>
    <w:p w14:paraId="49854EDB">
      <w:pPr>
        <w:spacing w:line="578" w:lineRule="exact"/>
        <w:ind w:firstLine="640"/>
        <w:rPr>
          <w:rFonts w:hint="eastAsia" w:ascii="黑体" w:hAnsi="黑体" w:eastAsia="黑体" w:cs="黑体"/>
          <w:color w:val="auto"/>
          <w:sz w:val="32"/>
          <w:szCs w:val="32"/>
        </w:rPr>
      </w:pPr>
    </w:p>
    <w:p w14:paraId="128E38E6">
      <w:pPr>
        <w:spacing w:line="578" w:lineRule="exact"/>
        <w:ind w:firstLine="640"/>
        <w:rPr>
          <w:rFonts w:hint="eastAsia" w:ascii="黑体" w:hAnsi="黑体" w:eastAsia="黑体" w:cs="黑体"/>
          <w:color w:val="auto"/>
          <w:sz w:val="32"/>
          <w:szCs w:val="32"/>
        </w:rPr>
      </w:pPr>
    </w:p>
    <w:p w14:paraId="66215CAE">
      <w:pPr>
        <w:spacing w:line="578" w:lineRule="exact"/>
        <w:ind w:firstLine="640"/>
        <w:rPr>
          <w:rFonts w:hint="eastAsia" w:ascii="黑体" w:hAnsi="黑体" w:eastAsia="黑体" w:cs="黑体"/>
          <w:color w:val="auto"/>
          <w:sz w:val="32"/>
          <w:szCs w:val="32"/>
        </w:rPr>
      </w:pPr>
    </w:p>
    <w:p w14:paraId="208582C3">
      <w:pPr>
        <w:spacing w:line="578" w:lineRule="exact"/>
        <w:ind w:firstLine="640"/>
        <w:rPr>
          <w:rFonts w:hint="eastAsia" w:ascii="黑体" w:hAnsi="黑体" w:eastAsia="黑体" w:cs="黑体"/>
          <w:color w:val="auto"/>
          <w:sz w:val="32"/>
          <w:szCs w:val="32"/>
        </w:rPr>
      </w:pPr>
    </w:p>
    <w:p w14:paraId="2352C333">
      <w:pPr>
        <w:spacing w:line="578" w:lineRule="exact"/>
        <w:jc w:val="center"/>
        <w:rPr>
          <w:rFonts w:hint="eastAsia" w:ascii="黑体" w:hAnsi="ˎ̥" w:eastAsia="黑体"/>
          <w:color w:val="auto"/>
          <w:sz w:val="32"/>
          <w:szCs w:val="32"/>
        </w:rPr>
      </w:pPr>
      <w:bookmarkStart w:id="71" w:name="_Toc16686_WPSOffice_Level1"/>
      <w:bookmarkStart w:id="72" w:name="_Toc28629_WPSOffice_Level1"/>
      <w:bookmarkStart w:id="73" w:name="_Toc31264_WPSOffice_Level1"/>
      <w:bookmarkStart w:id="74" w:name="_Toc4402_WPSOffice_Level1"/>
      <w:bookmarkStart w:id="75" w:name="_Toc29683_WPSOffice_Level1"/>
      <w:bookmarkStart w:id="76"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14:paraId="71ED3069">
      <w:pPr>
        <w:spacing w:line="578" w:lineRule="exact"/>
        <w:jc w:val="center"/>
        <w:rPr>
          <w:rFonts w:hint="eastAsia" w:ascii="黑体" w:hAnsi="ˎ̥" w:eastAsia="黑体"/>
          <w:color w:val="auto"/>
          <w:sz w:val="32"/>
          <w:szCs w:val="32"/>
        </w:rPr>
      </w:pPr>
    </w:p>
    <w:p w14:paraId="2DCB683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仿宋" w:eastAsia="仿宋_GB2312"/>
          <w:color w:val="auto"/>
          <w:sz w:val="32"/>
          <w:szCs w:val="32"/>
          <w:highlight w:val="none"/>
          <w:lang w:val="en-US" w:eastAsia="zh-CN"/>
        </w:rPr>
        <w:t>4023.20</w:t>
      </w:r>
      <w:r>
        <w:rPr>
          <w:rFonts w:hint="eastAsia" w:ascii="仿宋_GB2312" w:hAnsi="ˎ̥" w:eastAsia="仿宋_GB2312"/>
          <w:color w:val="auto"/>
          <w:sz w:val="32"/>
          <w:szCs w:val="32"/>
        </w:rPr>
        <w:t>万元，支出总计</w:t>
      </w:r>
      <w:r>
        <w:rPr>
          <w:rFonts w:hint="eastAsia" w:ascii="仿宋_GB2312" w:hAnsi="仿宋" w:eastAsia="仿宋_GB2312"/>
          <w:color w:val="auto"/>
          <w:sz w:val="32"/>
          <w:szCs w:val="32"/>
          <w:highlight w:val="none"/>
          <w:lang w:val="en-US" w:eastAsia="zh-CN"/>
        </w:rPr>
        <w:t>4023.20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仿宋" w:eastAsia="仿宋_GB2312"/>
          <w:color w:val="auto"/>
          <w:sz w:val="32"/>
          <w:szCs w:val="32"/>
          <w:highlight w:val="none"/>
          <w:lang w:val="en-US" w:eastAsia="zh-CN"/>
        </w:rPr>
        <w:t>1908.62</w:t>
      </w:r>
      <w:r>
        <w:rPr>
          <w:rFonts w:hint="eastAsia" w:ascii="仿宋_GB2312" w:hAnsi="ˎ̥" w:eastAsia="仿宋_GB2312"/>
          <w:color w:val="auto"/>
          <w:sz w:val="32"/>
          <w:szCs w:val="32"/>
        </w:rPr>
        <w:t>万元，增长</w:t>
      </w:r>
      <w:r>
        <w:rPr>
          <w:rFonts w:hint="eastAsia" w:ascii="仿宋_GB2312" w:hAnsi="仿宋" w:eastAsia="仿宋_GB2312"/>
          <w:color w:val="auto"/>
          <w:sz w:val="32"/>
          <w:szCs w:val="32"/>
          <w:highlight w:val="none"/>
          <w:lang w:val="en-US" w:eastAsia="zh-CN"/>
        </w:rPr>
        <w:t>90.26</w:t>
      </w:r>
      <w:r>
        <w:rPr>
          <w:rFonts w:hint="eastAsia" w:ascii="仿宋_GB2312" w:hAnsi="ˎ̥" w:eastAsia="仿宋_GB2312"/>
          <w:color w:val="auto"/>
          <w:sz w:val="32"/>
          <w:szCs w:val="32"/>
        </w:rPr>
        <w:t>%。主要原因：主要原因是2024年决算加入本单位业务收入部分。</w:t>
      </w:r>
    </w:p>
    <w:p w14:paraId="10444B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6E53D14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3</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939.3</w:t>
      </w: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万元。</w:t>
      </w:r>
    </w:p>
    <w:p w14:paraId="1EBE4A0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eastAsia" w:ascii="仿宋_GB2312" w:hAnsi="仿宋" w:eastAsia="仿宋_GB2312"/>
          <w:color w:val="auto"/>
          <w:sz w:val="32"/>
          <w:szCs w:val="32"/>
          <w:highlight w:val="none"/>
          <w:lang w:val="en-US" w:eastAsia="zh-CN"/>
        </w:rPr>
        <w:t>1705.64</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仿宋" w:eastAsia="仿宋_GB2312"/>
          <w:color w:val="auto"/>
          <w:sz w:val="32"/>
          <w:szCs w:val="32"/>
          <w:highlight w:val="none"/>
          <w:lang w:val="en-US" w:eastAsia="zh-CN"/>
        </w:rPr>
        <w:t>1705.64</w:t>
      </w:r>
      <w:r>
        <w:rPr>
          <w:rFonts w:hint="eastAsia" w:ascii="仿宋_GB2312" w:hAnsi="ˎ̥" w:eastAsia="仿宋_GB2312"/>
          <w:color w:val="auto"/>
          <w:sz w:val="32"/>
          <w:szCs w:val="32"/>
        </w:rPr>
        <w:t>万元，主要原因是2024年决算加入本单位业务收入部分。</w:t>
      </w:r>
    </w:p>
    <w:p w14:paraId="377955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83.82</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基本支出结转</w:t>
      </w:r>
      <w:r>
        <w:rPr>
          <w:rFonts w:hint="eastAsia" w:ascii="仿宋_GB2312" w:hAnsi="ˎ̥" w:eastAsia="仿宋_GB2312"/>
          <w:color w:val="auto"/>
          <w:sz w:val="32"/>
          <w:szCs w:val="32"/>
          <w:lang w:val="en-US" w:eastAsia="zh-CN"/>
        </w:rPr>
        <w:t>5.24万元</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5.24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项目支出结转</w:t>
      </w:r>
      <w:r>
        <w:rPr>
          <w:rFonts w:hint="eastAsia" w:ascii="仿宋_GB2312" w:hAnsi="ˎ̥" w:eastAsia="仿宋_GB2312"/>
          <w:color w:val="auto"/>
          <w:sz w:val="32"/>
          <w:szCs w:val="32"/>
          <w:lang w:val="en-US" w:eastAsia="zh-CN"/>
        </w:rPr>
        <w:t>78.58万元，</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下降</w:t>
      </w:r>
      <w:r>
        <w:rPr>
          <w:rFonts w:hint="eastAsia" w:ascii="仿宋_GB2312" w:hAnsi="ˎ̥" w:eastAsia="仿宋_GB2312"/>
          <w:color w:val="auto"/>
          <w:sz w:val="32"/>
          <w:szCs w:val="32"/>
          <w:lang w:val="en-US" w:eastAsia="zh-CN"/>
        </w:rPr>
        <w:t>63.17</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下降</w:t>
      </w:r>
      <w:r>
        <w:rPr>
          <w:rFonts w:hint="eastAsia" w:ascii="仿宋_GB2312" w:hAnsi="ˎ̥" w:eastAsia="仿宋_GB2312"/>
          <w:color w:val="auto"/>
          <w:sz w:val="32"/>
          <w:szCs w:val="32"/>
          <w:lang w:val="en-US" w:eastAsia="zh-CN"/>
        </w:rPr>
        <w:t>44.56</w:t>
      </w:r>
      <w:r>
        <w:rPr>
          <w:rFonts w:hint="eastAsia" w:ascii="仿宋_GB2312" w:hAnsi="ˎ̥" w:eastAsia="仿宋_GB2312"/>
          <w:color w:val="auto"/>
          <w:sz w:val="32"/>
          <w:szCs w:val="32"/>
        </w:rPr>
        <w:t>%。</w:t>
      </w:r>
    </w:p>
    <w:p w14:paraId="11F5F2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2E275F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023.19</w:t>
      </w:r>
      <w:r>
        <w:rPr>
          <w:rFonts w:hint="eastAsia" w:ascii="仿宋_GB2312" w:hAnsi="ˎ̥" w:eastAsia="仿宋_GB2312"/>
          <w:color w:val="auto"/>
          <w:sz w:val="32"/>
          <w:szCs w:val="32"/>
        </w:rPr>
        <w:t>万元。</w:t>
      </w:r>
    </w:p>
    <w:p w14:paraId="70E884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83.82</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下降</w:t>
      </w:r>
      <w:r>
        <w:rPr>
          <w:rFonts w:hint="eastAsia" w:ascii="仿宋_GB2312" w:hAnsi="ˎ̥" w:eastAsia="仿宋_GB2312"/>
          <w:color w:val="auto"/>
          <w:sz w:val="32"/>
          <w:szCs w:val="32"/>
          <w:lang w:val="en-US" w:eastAsia="zh-CN"/>
        </w:rPr>
        <w:t>63.17</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下降</w:t>
      </w:r>
      <w:r>
        <w:rPr>
          <w:rFonts w:hint="eastAsia" w:ascii="仿宋_GB2312" w:hAnsi="ˎ̥" w:eastAsia="仿宋_GB2312"/>
          <w:color w:val="auto"/>
          <w:sz w:val="32"/>
          <w:szCs w:val="32"/>
          <w:lang w:val="en-US" w:eastAsia="zh-CN"/>
        </w:rPr>
        <w:t>44.56</w:t>
      </w:r>
      <w:r>
        <w:rPr>
          <w:rFonts w:hint="eastAsia" w:ascii="仿宋_GB2312" w:hAnsi="ˎ̥" w:eastAsia="仿宋_GB2312"/>
          <w:color w:val="auto"/>
          <w:sz w:val="32"/>
          <w:szCs w:val="32"/>
        </w:rPr>
        <w:t>%。</w:t>
      </w:r>
    </w:p>
    <w:p w14:paraId="15A2788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78.58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单位达到应支尽支</w:t>
      </w:r>
      <w:r>
        <w:rPr>
          <w:rFonts w:hint="eastAsia" w:ascii="仿宋_GB2312" w:hAnsi="ˎ̥" w:eastAsia="仿宋_GB2312"/>
          <w:color w:val="auto"/>
          <w:sz w:val="32"/>
          <w:szCs w:val="32"/>
        </w:rPr>
        <w:t>。</w:t>
      </w:r>
    </w:p>
    <w:p w14:paraId="32E7844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p>
    <w:p w14:paraId="79A5FC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3</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939.37</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2</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233.73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56.70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705.64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43.30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6AA92A42">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7685EC5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023.19</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3</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724.58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92.58</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298.61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7.42</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14:paraId="1C3A9613">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533D4A3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2</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233.73</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2</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317.55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260.90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13.22</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：一是人员增加；二是专项经费增加</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202.97</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8.60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一是人员增加；二是专项经费增加</w:t>
      </w:r>
      <w:r>
        <w:rPr>
          <w:rFonts w:hint="eastAsia" w:ascii="仿宋_GB2312" w:hAnsi="ˎ̥" w:eastAsia="仿宋_GB2312"/>
          <w:color w:val="auto"/>
          <w:sz w:val="32"/>
          <w:szCs w:val="32"/>
        </w:rPr>
        <w:t>。</w:t>
      </w:r>
    </w:p>
    <w:p w14:paraId="64C0CE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83.82</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基本支出结转</w:t>
      </w:r>
      <w:r>
        <w:rPr>
          <w:rFonts w:hint="eastAsia" w:ascii="仿宋_GB2312" w:hAnsi="ˎ̥" w:eastAsia="仿宋_GB2312"/>
          <w:color w:val="auto"/>
          <w:sz w:val="32"/>
          <w:szCs w:val="32"/>
          <w:lang w:val="en-US" w:eastAsia="zh-CN"/>
        </w:rPr>
        <w:t>5.24万元</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5.24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项目支出结转</w:t>
      </w:r>
      <w:r>
        <w:rPr>
          <w:rFonts w:hint="eastAsia" w:ascii="仿宋_GB2312" w:hAnsi="ˎ̥" w:eastAsia="仿宋_GB2312"/>
          <w:color w:val="auto"/>
          <w:sz w:val="32"/>
          <w:szCs w:val="32"/>
          <w:lang w:val="en-US" w:eastAsia="zh-CN"/>
        </w:rPr>
        <w:t>78.58万元，</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下降</w:t>
      </w:r>
      <w:r>
        <w:rPr>
          <w:rFonts w:hint="eastAsia" w:ascii="仿宋_GB2312" w:hAnsi="ˎ̥" w:eastAsia="仿宋_GB2312"/>
          <w:color w:val="auto"/>
          <w:sz w:val="32"/>
          <w:szCs w:val="32"/>
          <w:lang w:val="en-US" w:eastAsia="zh-CN"/>
        </w:rPr>
        <w:t>63.17</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下降</w:t>
      </w:r>
      <w:r>
        <w:rPr>
          <w:rFonts w:hint="eastAsia" w:ascii="仿宋_GB2312" w:hAnsi="ˎ̥" w:eastAsia="仿宋_GB2312"/>
          <w:color w:val="auto"/>
          <w:sz w:val="32"/>
          <w:szCs w:val="32"/>
          <w:lang w:val="en-US" w:eastAsia="zh-CN"/>
        </w:rPr>
        <w:t>44.56</w:t>
      </w:r>
      <w:r>
        <w:rPr>
          <w:rFonts w:hint="eastAsia" w:ascii="仿宋_GB2312" w:hAnsi="ˎ̥" w:eastAsia="仿宋_GB2312"/>
          <w:color w:val="auto"/>
          <w:sz w:val="32"/>
          <w:szCs w:val="32"/>
        </w:rPr>
        <w:t>%。</w:t>
      </w:r>
    </w:p>
    <w:p w14:paraId="424BF00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78.58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单位达到应支尽支</w:t>
      </w:r>
      <w:r>
        <w:rPr>
          <w:rFonts w:hint="eastAsia" w:ascii="仿宋_GB2312" w:hAnsi="ˎ̥" w:eastAsia="仿宋_GB2312"/>
          <w:color w:val="auto"/>
          <w:sz w:val="32"/>
          <w:szCs w:val="32"/>
        </w:rPr>
        <w:t>。</w:t>
      </w:r>
    </w:p>
    <w:p w14:paraId="790917B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14:paraId="6D9CDA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23005_WPSOffice_Level2"/>
      <w:bookmarkStart w:id="78" w:name="_Toc9989_WPSOffice_Level2"/>
      <w:bookmarkStart w:id="79" w:name="_Toc19665_WPSOffice_Level2"/>
      <w:bookmarkStart w:id="80" w:name="_Toc13694_WPSOffice_Level2"/>
      <w:bookmarkStart w:id="81" w:name="_Toc17398_WPSOffice_Level2"/>
      <w:bookmarkStart w:id="82" w:name="_Toc21737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14:paraId="32C7F57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2</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317.55</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57.60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202.97</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9.6</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lang w:eastAsia="zh-CN"/>
        </w:rPr>
        <w:t>一是人员增加；二是专项经费增加</w:t>
      </w:r>
      <w:r>
        <w:rPr>
          <w:rFonts w:hint="eastAsia" w:ascii="仿宋_GB2312" w:hAnsi="ˎ̥" w:eastAsia="仿宋_GB2312"/>
          <w:color w:val="auto"/>
          <w:sz w:val="32"/>
          <w:szCs w:val="32"/>
        </w:rPr>
        <w:t>。</w:t>
      </w:r>
    </w:p>
    <w:p w14:paraId="01F1D4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3" w:name="_Toc27767_WPSOffice_Level2"/>
      <w:bookmarkStart w:id="84" w:name="_Toc2711_WPSOffice_Level2"/>
      <w:bookmarkStart w:id="85" w:name="_Toc19535_WPSOffice_Level2"/>
      <w:bookmarkStart w:id="86" w:name="_Toc18793_WPSOffice_Level2"/>
      <w:bookmarkStart w:id="87" w:name="_Toc19075_WPSOffice_Level2"/>
      <w:bookmarkStart w:id="88" w:name="_Toc23864_WPSOffice_Level2"/>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14:paraId="726AB5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2</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317.55</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27.13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1.17</w:t>
      </w:r>
      <w:r>
        <w:rPr>
          <w:rFonts w:hint="eastAsia" w:ascii="仿宋_GB2312" w:hAnsi="ˎ̥" w:eastAsia="仿宋_GB2312"/>
          <w:color w:val="auto"/>
          <w:sz w:val="32"/>
          <w:szCs w:val="32"/>
        </w:rPr>
        <w:t>%；</w:t>
      </w:r>
      <w:r>
        <w:rPr>
          <w:rFonts w:hint="eastAsia" w:ascii="仿宋_GB2312" w:hAnsi="ˎ̥" w:eastAsia="仿宋_GB2312"/>
          <w:b/>
          <w:color w:val="auto"/>
          <w:sz w:val="32"/>
          <w:szCs w:val="32"/>
        </w:rPr>
        <w:t>卫生健康（类）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1850.48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79.85</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181.16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7.81</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258.78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11.17</w:t>
      </w:r>
      <w:r>
        <w:rPr>
          <w:rFonts w:hint="eastAsia" w:ascii="仿宋_GB2312" w:hAnsi="ˎ̥" w:eastAsia="仿宋_GB2312"/>
          <w:color w:val="auto"/>
          <w:sz w:val="32"/>
          <w:szCs w:val="32"/>
        </w:rPr>
        <w:t>%；</w:t>
      </w:r>
    </w:p>
    <w:p w14:paraId="104029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9502_WPSOffice_Level2"/>
      <w:bookmarkStart w:id="90" w:name="_Toc15415_WPSOffice_Level2"/>
      <w:bookmarkStart w:id="91" w:name="_Toc21701_WPSOffice_Level2"/>
      <w:bookmarkStart w:id="92" w:name="_Toc25136_WPSOffice_Level2"/>
      <w:bookmarkStart w:id="93" w:name="_Toc22318_WPSOffice_Level2"/>
      <w:bookmarkStart w:id="94" w:name="_Toc29364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14:paraId="31699E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2317.55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317.55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14:paraId="1EDAB9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一般公共服务（类）群众团体事务（款）工会事务（项）。</w:t>
      </w:r>
    </w:p>
    <w:p w14:paraId="5B3F079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27.13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27.13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w:t>
      </w:r>
    </w:p>
    <w:p w14:paraId="7CC004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社会保障和就业支出（类）行政事业单位养老支出（款）机关事业单位基本养老保险缴费支出（项）。</w:t>
      </w:r>
    </w:p>
    <w:p w14:paraId="75C7430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181.16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181.16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w:t>
      </w:r>
    </w:p>
    <w:p w14:paraId="634FCC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w:t>
      </w:r>
      <w:r>
        <w:rPr>
          <w:rFonts w:hint="eastAsia" w:ascii="仿宋_GB2312" w:hAnsi="ˎ̥" w:eastAsia="仿宋_GB2312"/>
          <w:b/>
          <w:color w:val="auto"/>
          <w:sz w:val="32"/>
          <w:szCs w:val="32"/>
        </w:rPr>
        <w:t>卫生健康支出（类）公立医院（款）综合医院（项）。</w:t>
      </w:r>
    </w:p>
    <w:p w14:paraId="06CAB23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1655.43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33.61.07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203.03</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，主要原因是单位事业收入未纳入预算，导致决算数过大。</w:t>
      </w:r>
    </w:p>
    <w:p w14:paraId="1808FA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w:t>
      </w:r>
      <w:r>
        <w:rPr>
          <w:rFonts w:hint="eastAsia" w:ascii="仿宋_GB2312" w:hAnsi="ˎ̥" w:eastAsia="仿宋_GB2312"/>
          <w:b/>
          <w:color w:val="auto"/>
          <w:sz w:val="32"/>
          <w:szCs w:val="32"/>
        </w:rPr>
        <w:t>卫生健康支出（类）公共卫生（款）基本公共卫生服务（项）。</w:t>
      </w:r>
    </w:p>
    <w:p w14:paraId="5114605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52.26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52.26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w:t>
      </w:r>
    </w:p>
    <w:p w14:paraId="2777AE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w:t>
      </w:r>
      <w:r>
        <w:rPr>
          <w:rFonts w:hint="eastAsia" w:ascii="仿宋_GB2312" w:hAnsi="ˎ̥" w:eastAsia="仿宋_GB2312"/>
          <w:b/>
          <w:color w:val="auto"/>
          <w:sz w:val="32"/>
          <w:szCs w:val="32"/>
        </w:rPr>
        <w:t>卫生健康支出（类）公共卫生（款）重大公共卫生服务（项）。</w:t>
      </w:r>
    </w:p>
    <w:p w14:paraId="1FFBF65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12.20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12.20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w:t>
      </w:r>
    </w:p>
    <w:p w14:paraId="581EB0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w:t>
      </w:r>
      <w:r>
        <w:rPr>
          <w:rFonts w:hint="eastAsia" w:ascii="仿宋_GB2312" w:hAnsi="ˎ̥" w:eastAsia="仿宋_GB2312"/>
          <w:b/>
          <w:color w:val="auto"/>
          <w:sz w:val="32"/>
          <w:szCs w:val="32"/>
        </w:rPr>
        <w:t>卫生健康支出（类）行政事业单位医疗（款）事业单位医疗（项）。</w:t>
      </w:r>
    </w:p>
    <w:p w14:paraId="5E32325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87.16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87.16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w:t>
      </w:r>
    </w:p>
    <w:p w14:paraId="2CB28C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7</w:t>
      </w:r>
      <w:r>
        <w:rPr>
          <w:rFonts w:hint="eastAsia" w:ascii="仿宋_GB2312" w:hAnsi="ˎ̥" w:eastAsia="仿宋_GB2312"/>
          <w:color w:val="auto"/>
          <w:sz w:val="32"/>
          <w:szCs w:val="32"/>
        </w:rPr>
        <w:t>.</w:t>
      </w:r>
      <w:r>
        <w:rPr>
          <w:rFonts w:hint="eastAsia" w:ascii="仿宋_GB2312" w:hAnsi="ˎ̥" w:eastAsia="仿宋_GB2312"/>
          <w:b/>
          <w:color w:val="auto"/>
          <w:sz w:val="32"/>
          <w:szCs w:val="32"/>
        </w:rPr>
        <w:t>卫生健康支出（类）行政事业单位医疗（款）公务员医疗补助（项）。</w:t>
      </w:r>
    </w:p>
    <w:p w14:paraId="3E80767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27.00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27.00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w:t>
      </w:r>
    </w:p>
    <w:p w14:paraId="31D295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w:t>
      </w:r>
      <w:r>
        <w:rPr>
          <w:rFonts w:hint="eastAsia" w:ascii="仿宋_GB2312" w:hAnsi="ˎ̥" w:eastAsia="仿宋_GB2312"/>
          <w:b/>
          <w:color w:val="auto"/>
          <w:sz w:val="32"/>
          <w:szCs w:val="32"/>
        </w:rPr>
        <w:t>卫生健康支出（类）行政事业单位医疗（款）其他行政事业单位医疗支出（项）。</w:t>
      </w:r>
    </w:p>
    <w:p w14:paraId="5AB5B923">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12.42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12.42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w:t>
      </w:r>
    </w:p>
    <w:p w14:paraId="5EEB6BA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9</w:t>
      </w:r>
      <w:r>
        <w:rPr>
          <w:rFonts w:hint="eastAsia" w:ascii="仿宋_GB2312" w:hAnsi="ˎ̥" w:eastAsia="仿宋_GB2312"/>
          <w:color w:val="auto"/>
          <w:sz w:val="32"/>
          <w:szCs w:val="32"/>
        </w:rPr>
        <w:t>.</w:t>
      </w:r>
      <w:r>
        <w:rPr>
          <w:rFonts w:hint="eastAsia" w:ascii="仿宋_GB2312" w:hAnsi="ˎ̥" w:eastAsia="仿宋_GB2312"/>
          <w:b/>
          <w:color w:val="auto"/>
          <w:sz w:val="32"/>
          <w:szCs w:val="32"/>
        </w:rPr>
        <w:t>住房保障支出（类）住房改革支出（款）住房公积金（项）。</w:t>
      </w:r>
    </w:p>
    <w:p w14:paraId="1A8EB01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170.10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170.10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w:t>
      </w:r>
    </w:p>
    <w:p w14:paraId="02E813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w:t>
      </w:r>
      <w:r>
        <w:rPr>
          <w:rFonts w:hint="eastAsia" w:ascii="仿宋_GB2312" w:hAnsi="ˎ̥" w:eastAsia="仿宋_GB2312"/>
          <w:b/>
          <w:color w:val="auto"/>
          <w:sz w:val="32"/>
          <w:szCs w:val="32"/>
        </w:rPr>
        <w:t>住房保障支出（类）住房改革支出（款）购房补贴（项）。</w:t>
      </w:r>
    </w:p>
    <w:p w14:paraId="07DA880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88.69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88.69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w:t>
      </w:r>
    </w:p>
    <w:p w14:paraId="24532F12">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14:paraId="6C2BF2A5">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2</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lang w:val="en-US"/>
        </w:rPr>
        <w:t>018.93</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w:t>
      </w:r>
      <w:r>
        <w:rPr>
          <w:rFonts w:hint="eastAsia" w:ascii="仿宋_GB2312" w:hAnsi="ˎ̥" w:eastAsia="仿宋_GB2312"/>
          <w:color w:val="auto"/>
          <w:sz w:val="32"/>
          <w:szCs w:val="32"/>
          <w:lang w:val="en-US" w:eastAsia="zh-CN"/>
        </w:rPr>
        <w:t>，</w:t>
      </w:r>
      <w:r>
        <w:rPr>
          <w:rFonts w:ascii="仿宋_GB2312" w:hAnsi="ˎ̥" w:eastAsia="仿宋_GB2312"/>
          <w:color w:val="auto"/>
          <w:sz w:val="32"/>
          <w:szCs w:val="32"/>
          <w:lang w:val="en-US"/>
        </w:rPr>
        <w:t>904.49</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114.45</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60FA4990">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14:paraId="089747E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林芝市巴宜区人民医院</w:t>
      </w:r>
      <w:r>
        <w:rPr>
          <w:rFonts w:hint="eastAsia" w:ascii="楷体" w:hAnsi="楷体" w:eastAsia="楷体" w:cs="楷体"/>
          <w:color w:val="auto"/>
          <w:sz w:val="32"/>
          <w:szCs w:val="32"/>
          <w:lang w:val="en-US" w:eastAsia="zh-CN"/>
        </w:rPr>
        <w:t>2024年度无政府性基金预算财政拨款支出。</w:t>
      </w:r>
    </w:p>
    <w:p w14:paraId="5603FC37">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5B40A980">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林芝市巴宜区人民医院</w:t>
      </w:r>
      <w:r>
        <w:rPr>
          <w:rFonts w:hint="eastAsia" w:ascii="楷体" w:hAnsi="楷体" w:eastAsia="楷体" w:cs="楷体"/>
          <w:color w:val="auto"/>
          <w:sz w:val="32"/>
          <w:szCs w:val="32"/>
          <w:lang w:val="en-US" w:eastAsia="zh-CN"/>
        </w:rPr>
        <w:t>2024年度无国有资本经营预算财政拨款支出。</w:t>
      </w:r>
    </w:p>
    <w:p w14:paraId="4A0EB220">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b w:val="0"/>
          <w:bCs/>
          <w:color w:val="auto"/>
          <w:sz w:val="32"/>
          <w:szCs w:val="32"/>
        </w:rPr>
      </w:pPr>
      <w:r>
        <w:rPr>
          <w:rFonts w:hint="eastAsia" w:ascii="黑体" w:hAnsi="黑体" w:eastAsia="黑体" w:cs="黑体"/>
          <w:b w:val="0"/>
          <w:bCs/>
          <w:color w:val="auto"/>
          <w:sz w:val="32"/>
          <w:szCs w:val="32"/>
        </w:rPr>
        <w:t>九、财政拨款“三公”经费支出决算情况说明</w:t>
      </w:r>
    </w:p>
    <w:p w14:paraId="4748BC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00FF5B3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ˎ̥" w:eastAsia="仿宋_GB2312"/>
          <w:color w:val="auto"/>
          <w:sz w:val="32"/>
          <w:szCs w:val="32"/>
          <w:lang w:val="en-US"/>
        </w:rPr>
      </w:pPr>
      <w:r>
        <w:rPr>
          <w:rFonts w:hint="default" w:ascii="仿宋_GB2312" w:hAnsi="ˎ̥" w:eastAsia="仿宋_GB2312"/>
          <w:color w:val="auto"/>
          <w:sz w:val="32"/>
          <w:szCs w:val="32"/>
          <w:lang w:val="en-US"/>
        </w:rPr>
        <w:t>2024年度“三公”经费一般公共预算财政拨款支出预算为8.60万元</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支出决算为3.51万元</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完成预算的40.81%。事业收入中支出0.41万元。共计支出3.92万元。决算数小于预算数的主要原因为</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认真贯彻落实中央八项规定</w:t>
      </w:r>
      <w:r>
        <w:rPr>
          <w:rFonts w:hint="eastAsia" w:ascii="仿宋_GB2312" w:hAnsi="ˎ̥" w:eastAsia="仿宋_GB2312"/>
          <w:color w:val="auto"/>
          <w:sz w:val="32"/>
          <w:szCs w:val="32"/>
          <w:lang w:val="en-US" w:eastAsia="zh-CN"/>
        </w:rPr>
        <w:t>精神</w:t>
      </w:r>
      <w:bookmarkStart w:id="101" w:name="_GoBack"/>
      <w:bookmarkEnd w:id="101"/>
      <w:r>
        <w:rPr>
          <w:rFonts w:hint="default" w:ascii="仿宋_GB2312" w:hAnsi="ˎ̥" w:eastAsia="仿宋_GB2312"/>
          <w:color w:val="auto"/>
          <w:sz w:val="32"/>
          <w:szCs w:val="32"/>
          <w:lang w:val="en-US"/>
        </w:rPr>
        <w:t>厉行节约要求</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从严控制“三公”经费支出。</w:t>
      </w:r>
    </w:p>
    <w:p w14:paraId="273EA9C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237106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3.51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99.71</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0.10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0.29</w:t>
      </w:r>
      <w:r>
        <w:rPr>
          <w:rFonts w:hint="eastAsia" w:ascii="仿宋_GB2312" w:hAnsi="ˎ̥" w:eastAsia="仿宋_GB2312"/>
          <w:color w:val="auto"/>
          <w:sz w:val="32"/>
          <w:szCs w:val="32"/>
        </w:rPr>
        <w:t>%。具体情况如下：</w:t>
      </w:r>
    </w:p>
    <w:p w14:paraId="1E2AE3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rPr>
        <w:t>（</w:t>
      </w:r>
      <w:r>
        <w:rPr>
          <w:rFonts w:hint="eastAsia" w:ascii="仿宋_GB2312" w:hAnsi="ˎ̥" w:eastAsia="仿宋_GB2312"/>
          <w:b w:val="0"/>
          <w:bCs/>
          <w:color w:val="auto"/>
          <w:sz w:val="32"/>
          <w:szCs w:val="32"/>
          <w:lang w:val="en-US" w:eastAsia="zh-CN"/>
        </w:rPr>
        <w:t>1</w:t>
      </w:r>
      <w:r>
        <w:rPr>
          <w:rFonts w:hint="eastAsia" w:ascii="仿宋_GB2312" w:hAnsi="ˎ̥" w:eastAsia="仿宋_GB2312"/>
          <w:b w:val="0"/>
          <w:bCs/>
          <w:color w:val="auto"/>
          <w:sz w:val="32"/>
          <w:szCs w:val="32"/>
        </w:rPr>
        <w:t>）会议费预算为0万元</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支出决算为0万元</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与2023年一样均未发生会议费。</w:t>
      </w:r>
    </w:p>
    <w:p w14:paraId="2E85B9F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rPr>
        <w:t>（</w:t>
      </w:r>
      <w:r>
        <w:rPr>
          <w:rFonts w:hint="eastAsia" w:ascii="仿宋_GB2312" w:hAnsi="ˎ̥" w:eastAsia="仿宋_GB2312"/>
          <w:b w:val="0"/>
          <w:bCs/>
          <w:color w:val="auto"/>
          <w:sz w:val="32"/>
          <w:szCs w:val="32"/>
          <w:lang w:val="en-US" w:eastAsia="zh-CN"/>
        </w:rPr>
        <w:t>2</w:t>
      </w:r>
      <w:r>
        <w:rPr>
          <w:rFonts w:hint="eastAsia" w:ascii="仿宋_GB2312" w:hAnsi="ˎ̥" w:eastAsia="仿宋_GB2312"/>
          <w:b w:val="0"/>
          <w:bCs/>
          <w:color w:val="auto"/>
          <w:sz w:val="32"/>
          <w:szCs w:val="32"/>
        </w:rPr>
        <w:t>）培训费预算为1.01万元</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支出决算为1.01万元</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与上年相比，增加1.01万元，主要原因是本年决算数据加入事业收入部分，导致培训费增加。</w:t>
      </w:r>
    </w:p>
    <w:p w14:paraId="60A827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rPr>
        <w:t>（</w:t>
      </w:r>
      <w:r>
        <w:rPr>
          <w:rFonts w:hint="eastAsia" w:ascii="仿宋_GB2312" w:hAnsi="ˎ̥" w:eastAsia="仿宋_GB2312"/>
          <w:b w:val="0"/>
          <w:bCs/>
          <w:color w:val="auto"/>
          <w:sz w:val="32"/>
          <w:szCs w:val="32"/>
          <w:lang w:val="en-US" w:eastAsia="zh-CN"/>
        </w:rPr>
        <w:t>3</w:t>
      </w:r>
      <w:r>
        <w:rPr>
          <w:rFonts w:hint="eastAsia" w:ascii="仿宋_GB2312" w:hAnsi="ˎ̥" w:eastAsia="仿宋_GB2312"/>
          <w:b w:val="0"/>
          <w:bCs/>
          <w:color w:val="auto"/>
          <w:sz w:val="32"/>
          <w:szCs w:val="32"/>
        </w:rPr>
        <w:t>）因公出国</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境</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费预算为0万元</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支出决算为0万元</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与2022年一样均未发生因公出国</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境</w:t>
      </w:r>
      <w:r>
        <w:rPr>
          <w:rFonts w:hint="eastAsia" w:ascii="仿宋_GB2312" w:hAnsi="ˎ̥" w:eastAsia="仿宋_GB2312"/>
          <w:b w:val="0"/>
          <w:bCs/>
          <w:color w:val="auto"/>
          <w:sz w:val="32"/>
          <w:szCs w:val="32"/>
          <w:lang w:eastAsia="zh-CN"/>
        </w:rPr>
        <w:t>）</w:t>
      </w:r>
      <w:r>
        <w:rPr>
          <w:rFonts w:hint="eastAsia" w:ascii="仿宋_GB2312" w:hAnsi="ˎ̥" w:eastAsia="仿宋_GB2312"/>
          <w:b w:val="0"/>
          <w:bCs/>
          <w:color w:val="auto"/>
          <w:sz w:val="32"/>
          <w:szCs w:val="32"/>
        </w:rPr>
        <w:t>费。</w:t>
      </w:r>
    </w:p>
    <w:p w14:paraId="4987E63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十、预算绩效情况说明</w:t>
      </w:r>
    </w:p>
    <w:p w14:paraId="615429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color w:val="auto"/>
          <w:sz w:val="32"/>
          <w:szCs w:val="32"/>
          <w:lang w:eastAsia="zh-CN"/>
        </w:rPr>
      </w:pPr>
      <w:r>
        <w:rPr>
          <w:rFonts w:hint="eastAsia" w:ascii="楷体" w:hAnsi="楷体" w:eastAsia="楷体" w:cs="楷体"/>
          <w:b w:val="0"/>
          <w:bCs/>
          <w:color w:val="auto"/>
          <w:sz w:val="32"/>
          <w:szCs w:val="32"/>
          <w:lang w:eastAsia="zh-CN"/>
        </w:rPr>
        <w:t>本单位预算绩效自评工作已完成，自评结果为良好，本次绩效评价结果客观反映了年度资金使用效率和工作落实成效，为后续制定年度工作计划、设定绩效目标提供了重要参考。</w:t>
      </w:r>
    </w:p>
    <w:p w14:paraId="6233D5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十一、其他重要事项情况说明</w:t>
      </w:r>
    </w:p>
    <w:p w14:paraId="2F88998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ˎ̥" w:eastAsia="黑体"/>
          <w:color w:val="auto"/>
          <w:sz w:val="32"/>
          <w:szCs w:val="32"/>
          <w:lang w:eastAsia="zh-CN"/>
        </w:rPr>
      </w:pPr>
      <w:bookmarkStart w:id="95" w:name="_Toc8808_WPSOffice_Level1"/>
      <w:bookmarkStart w:id="96" w:name="_Toc8874_WPSOffice_Level1"/>
      <w:bookmarkStart w:id="97" w:name="_Toc11039_WPSOffice_Level1"/>
      <w:bookmarkStart w:id="98" w:name="_Toc15425_WPSOffice_Level1"/>
      <w:bookmarkStart w:id="99" w:name="_Toc4398_WPSOffice_Level1"/>
      <w:bookmarkStart w:id="100" w:name="_Toc17580_WPSOffice_Level1"/>
      <w:r>
        <w:rPr>
          <w:rFonts w:hint="eastAsia" w:ascii="楷体" w:hAnsi="楷体" w:eastAsia="楷体" w:cs="楷体"/>
          <w:bCs/>
          <w:color w:val="auto"/>
          <w:sz w:val="32"/>
          <w:szCs w:val="32"/>
          <w:lang w:eastAsia="zh-CN"/>
        </w:rPr>
        <w:t>无</w:t>
      </w:r>
    </w:p>
    <w:p w14:paraId="07D4200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7389196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6C2354C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14B2C4F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10C898B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75A0EF7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0FEB097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95"/>
      <w:bookmarkEnd w:id="96"/>
      <w:bookmarkEnd w:id="97"/>
      <w:bookmarkEnd w:id="98"/>
      <w:bookmarkEnd w:id="99"/>
      <w:bookmarkEnd w:id="100"/>
    </w:p>
    <w:p w14:paraId="3BF9874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50C4A84B">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14:paraId="5A7A65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14:paraId="4C00B9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14:paraId="6CB939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14:paraId="42EAE8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14:paraId="0D227E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14:paraId="2E9C62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14:paraId="5528BB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14:paraId="47333B5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14:paraId="5B5B5C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6A728B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14:paraId="183583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14:paraId="339839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14:paraId="522E992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230FBE2A">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0F582253">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1847">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128B25B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96B5">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68EC0A4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abstractNum w:abstractNumId="2">
    <w:nsid w:val="7FBEA8FE"/>
    <w:multiLevelType w:val="singleLevel"/>
    <w:tmpl w:val="7FBEA8F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8F1CB5"/>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F0249B"/>
    <w:rsid w:val="05840DC6"/>
    <w:rsid w:val="086D383D"/>
    <w:rsid w:val="09201287"/>
    <w:rsid w:val="0F101949"/>
    <w:rsid w:val="0FC80124"/>
    <w:rsid w:val="103D5FF4"/>
    <w:rsid w:val="136F98C7"/>
    <w:rsid w:val="13FA5154"/>
    <w:rsid w:val="17427E68"/>
    <w:rsid w:val="1755065F"/>
    <w:rsid w:val="18BA557A"/>
    <w:rsid w:val="1AFC29C9"/>
    <w:rsid w:val="1BF324BA"/>
    <w:rsid w:val="1C8D1640"/>
    <w:rsid w:val="1CA52F2E"/>
    <w:rsid w:val="1DFE370B"/>
    <w:rsid w:val="1E3630B9"/>
    <w:rsid w:val="25B25527"/>
    <w:rsid w:val="26EEC2B5"/>
    <w:rsid w:val="28CA7730"/>
    <w:rsid w:val="29472309"/>
    <w:rsid w:val="296D577E"/>
    <w:rsid w:val="2B406E77"/>
    <w:rsid w:val="2C2A0C43"/>
    <w:rsid w:val="2D1E73A5"/>
    <w:rsid w:val="2E464275"/>
    <w:rsid w:val="2FA3253D"/>
    <w:rsid w:val="32717154"/>
    <w:rsid w:val="34633AD0"/>
    <w:rsid w:val="34B63260"/>
    <w:rsid w:val="37FDA7E2"/>
    <w:rsid w:val="384F12EA"/>
    <w:rsid w:val="3A314D88"/>
    <w:rsid w:val="3A746883"/>
    <w:rsid w:val="3CA15DE9"/>
    <w:rsid w:val="3D807BF4"/>
    <w:rsid w:val="3EF43679"/>
    <w:rsid w:val="3F150A6A"/>
    <w:rsid w:val="3FE61EE5"/>
    <w:rsid w:val="40223C02"/>
    <w:rsid w:val="406508EE"/>
    <w:rsid w:val="408D6263"/>
    <w:rsid w:val="41B40CEE"/>
    <w:rsid w:val="42090009"/>
    <w:rsid w:val="43357B47"/>
    <w:rsid w:val="443F2333"/>
    <w:rsid w:val="47A00E0B"/>
    <w:rsid w:val="47C5593A"/>
    <w:rsid w:val="48317291"/>
    <w:rsid w:val="485F7024"/>
    <w:rsid w:val="48AF6648"/>
    <w:rsid w:val="48E70666"/>
    <w:rsid w:val="4AD8561D"/>
    <w:rsid w:val="4C6877E5"/>
    <w:rsid w:val="4D6A468D"/>
    <w:rsid w:val="4E073189"/>
    <w:rsid w:val="4E4A5793"/>
    <w:rsid w:val="4EA86137"/>
    <w:rsid w:val="4EA9279C"/>
    <w:rsid w:val="4F6B3C13"/>
    <w:rsid w:val="546D2BA5"/>
    <w:rsid w:val="55FA318F"/>
    <w:rsid w:val="56362FCC"/>
    <w:rsid w:val="56CA7FD0"/>
    <w:rsid w:val="57887D25"/>
    <w:rsid w:val="57FA38D1"/>
    <w:rsid w:val="5A5D684E"/>
    <w:rsid w:val="5F7D3333"/>
    <w:rsid w:val="61385890"/>
    <w:rsid w:val="618B2C57"/>
    <w:rsid w:val="62A40480"/>
    <w:rsid w:val="6504510C"/>
    <w:rsid w:val="687436E1"/>
    <w:rsid w:val="6DA45C50"/>
    <w:rsid w:val="6E9A7825"/>
    <w:rsid w:val="6F670F9B"/>
    <w:rsid w:val="735368F8"/>
    <w:rsid w:val="737450E0"/>
    <w:rsid w:val="74054476"/>
    <w:rsid w:val="742F38C4"/>
    <w:rsid w:val="74AB66DC"/>
    <w:rsid w:val="74C4154C"/>
    <w:rsid w:val="75355B48"/>
    <w:rsid w:val="75956FFF"/>
    <w:rsid w:val="77AA2D01"/>
    <w:rsid w:val="77D84FBA"/>
    <w:rsid w:val="78B47196"/>
    <w:rsid w:val="7C066B69"/>
    <w:rsid w:val="7CDE1DBD"/>
    <w:rsid w:val="7CF942BA"/>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5124</Words>
  <Characters>5800</Characters>
  <Lines>67</Lines>
  <Paragraphs>18</Paragraphs>
  <TotalTime>6</TotalTime>
  <ScaleCrop>false</ScaleCrop>
  <LinksUpToDate>false</LinksUpToDate>
  <CharactersWithSpaces>5848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2023-08-03T00:58:00Z</cp:lastPrinted>
  <dcterms:modified xsi:type="dcterms:W3CDTF">2025-12-31T10:08:31Z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9C4713BE54D840CF980C5A5BDEE9E23E</vt:lpwstr>
  </property>
  <property fmtid="{D5CDD505-2E9C-101B-9397-08002B2CF9AE}" pid="4" name="KSOTemplateDocerSaveRecord">
    <vt:lpwstr>eyJoZGlkIjoiZDk2NmZkMjFmYThjODE4NjczYzM2NTBlZDE5ZTBhMjQiLCJ1c2VySWQiOiI2MDY4NTU4MjgifQ==</vt:lpwstr>
  </property>
</Properties>
</file>