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49535" w14:textId="77777777" w:rsidR="009F32BE" w:rsidRDefault="000B29A7">
      <w:pPr>
        <w:jc w:val="center"/>
        <w:rPr>
          <w:rFonts w:ascii="Times New Roman" w:eastAsia="仿宋_GB2312" w:hAnsi="Times New Roman"/>
          <w:b/>
          <w:bCs/>
          <w:sz w:val="32"/>
          <w:szCs w:val="30"/>
        </w:rPr>
      </w:pPr>
      <w:bookmarkStart w:id="0" w:name="_Toc135242029"/>
      <w:bookmarkStart w:id="1" w:name="_Toc149754992"/>
      <w:bookmarkStart w:id="2" w:name="_Toc137219254"/>
      <w:bookmarkStart w:id="3" w:name="_Toc135213675"/>
      <w:r>
        <w:rPr>
          <w:rFonts w:ascii="Times New Roman" w:eastAsia="仿宋_GB2312" w:hAnsi="Times New Roman"/>
          <w:b/>
          <w:bCs/>
          <w:sz w:val="32"/>
          <w:szCs w:val="30"/>
        </w:rPr>
        <w:t>巴宜区</w:t>
      </w:r>
      <w:r>
        <w:rPr>
          <w:rFonts w:ascii="Times New Roman" w:eastAsia="仿宋_GB2312" w:hAnsi="Times New Roman" w:hint="eastAsia"/>
          <w:b/>
          <w:bCs/>
          <w:sz w:val="32"/>
          <w:szCs w:val="30"/>
        </w:rPr>
        <w:t>布久乡仲萨巴村</w:t>
      </w:r>
      <w:r>
        <w:rPr>
          <w:rFonts w:ascii="Times New Roman" w:eastAsia="仿宋_GB2312" w:hAnsi="Times New Roman"/>
          <w:b/>
          <w:bCs/>
          <w:sz w:val="32"/>
          <w:szCs w:val="30"/>
        </w:rPr>
        <w:t>“</w:t>
      </w:r>
      <w:r>
        <w:rPr>
          <w:rFonts w:ascii="Times New Roman" w:eastAsia="仿宋_GB2312" w:hAnsi="Times New Roman"/>
          <w:b/>
          <w:bCs/>
          <w:sz w:val="32"/>
          <w:szCs w:val="30"/>
        </w:rPr>
        <w:t>多规合一</w:t>
      </w:r>
      <w:r>
        <w:rPr>
          <w:rFonts w:ascii="Times New Roman" w:eastAsia="仿宋_GB2312" w:hAnsi="Times New Roman"/>
          <w:b/>
          <w:bCs/>
          <w:sz w:val="32"/>
          <w:szCs w:val="30"/>
        </w:rPr>
        <w:t>”</w:t>
      </w:r>
      <w:r>
        <w:rPr>
          <w:rFonts w:ascii="Times New Roman" w:eastAsia="仿宋_GB2312" w:hAnsi="Times New Roman"/>
          <w:b/>
          <w:bCs/>
          <w:sz w:val="32"/>
          <w:szCs w:val="30"/>
        </w:rPr>
        <w:t>实用性村庄规划</w:t>
      </w:r>
    </w:p>
    <w:p w14:paraId="382CDA43" w14:textId="77777777" w:rsidR="009F32BE" w:rsidRDefault="000B29A7">
      <w:pPr>
        <w:jc w:val="center"/>
        <w:rPr>
          <w:rFonts w:ascii="Times New Roman" w:eastAsia="仿宋_GB2312" w:hAnsi="Times New Roman"/>
          <w:b/>
          <w:bCs/>
          <w:sz w:val="32"/>
          <w:szCs w:val="30"/>
        </w:rPr>
      </w:pPr>
      <w:r>
        <w:rPr>
          <w:rFonts w:ascii="Times New Roman" w:eastAsia="仿宋_GB2312" w:hAnsi="Times New Roman"/>
          <w:b/>
          <w:bCs/>
          <w:sz w:val="32"/>
          <w:szCs w:val="30"/>
        </w:rPr>
        <w:t>（</w:t>
      </w:r>
      <w:r>
        <w:rPr>
          <w:rFonts w:ascii="Times New Roman" w:eastAsia="仿宋_GB2312" w:hAnsi="Times New Roman"/>
          <w:b/>
          <w:bCs/>
          <w:sz w:val="32"/>
          <w:szCs w:val="30"/>
        </w:rPr>
        <w:t>2024-2035</w:t>
      </w:r>
      <w:r>
        <w:rPr>
          <w:rFonts w:ascii="Times New Roman" w:eastAsia="仿宋_GB2312" w:hAnsi="Times New Roman"/>
          <w:b/>
          <w:bCs/>
          <w:sz w:val="32"/>
          <w:szCs w:val="30"/>
        </w:rPr>
        <w:t>年）</w:t>
      </w:r>
    </w:p>
    <w:p w14:paraId="2BBE052C" w14:textId="77777777" w:rsidR="009F32BE" w:rsidRDefault="000B29A7">
      <w:pPr>
        <w:numPr>
          <w:ilvl w:val="0"/>
          <w:numId w:val="1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规划范围</w:t>
      </w:r>
    </w:p>
    <w:p w14:paraId="33D931BE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本次规划范围为</w:t>
      </w:r>
      <w:r>
        <w:rPr>
          <w:rFonts w:ascii="Times New Roman" w:eastAsia="仿宋_GB2312" w:hAnsi="Times New Roman" w:hint="eastAsia"/>
          <w:sz w:val="30"/>
          <w:szCs w:val="30"/>
        </w:rPr>
        <w:t>布久乡仲萨巴村</w:t>
      </w:r>
      <w:r>
        <w:rPr>
          <w:rFonts w:ascii="Times New Roman" w:eastAsia="仿宋_GB2312" w:hAnsi="Times New Roman"/>
          <w:sz w:val="30"/>
          <w:szCs w:val="30"/>
        </w:rPr>
        <w:t>村域全部国土空间，规划总面积</w:t>
      </w:r>
      <w:r>
        <w:rPr>
          <w:rFonts w:ascii="Times New Roman" w:eastAsia="仿宋" w:hAnsi="Times New Roman" w:hint="eastAsia"/>
          <w:color w:val="000000" w:themeColor="text1"/>
          <w:sz w:val="30"/>
          <w:szCs w:val="30"/>
        </w:rPr>
        <w:t>2278.20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2E5607D0" w14:textId="77777777" w:rsidR="009F32BE" w:rsidRDefault="000B29A7">
      <w:pPr>
        <w:numPr>
          <w:ilvl w:val="0"/>
          <w:numId w:val="1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规划期限</w:t>
      </w:r>
    </w:p>
    <w:p w14:paraId="35767C79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本次规划期限为</w:t>
      </w:r>
      <w:r>
        <w:rPr>
          <w:rFonts w:ascii="Times New Roman" w:eastAsia="仿宋_GB2312" w:hAnsi="Times New Roman"/>
          <w:sz w:val="30"/>
          <w:szCs w:val="30"/>
        </w:rPr>
        <w:t>2024-2035</w:t>
      </w:r>
      <w:r>
        <w:rPr>
          <w:rFonts w:ascii="Times New Roman" w:eastAsia="仿宋_GB2312" w:hAnsi="Times New Roman"/>
          <w:sz w:val="30"/>
          <w:szCs w:val="30"/>
        </w:rPr>
        <w:t>年。规划基期年为</w:t>
      </w:r>
      <w:r>
        <w:rPr>
          <w:rFonts w:ascii="Times New Roman" w:eastAsia="仿宋_GB2312" w:hAnsi="Times New Roman"/>
          <w:sz w:val="30"/>
          <w:szCs w:val="30"/>
        </w:rPr>
        <w:t>2023</w:t>
      </w:r>
      <w:r>
        <w:rPr>
          <w:rFonts w:ascii="Times New Roman" w:eastAsia="仿宋_GB2312" w:hAnsi="Times New Roman"/>
          <w:sz w:val="30"/>
          <w:szCs w:val="30"/>
        </w:rPr>
        <w:t>年，目标年为</w:t>
      </w:r>
      <w:r>
        <w:rPr>
          <w:rFonts w:ascii="Times New Roman" w:eastAsia="仿宋_GB2312" w:hAnsi="Times New Roman"/>
          <w:sz w:val="30"/>
          <w:szCs w:val="30"/>
        </w:rPr>
        <w:t>2035</w:t>
      </w:r>
      <w:r>
        <w:rPr>
          <w:rFonts w:ascii="Times New Roman" w:eastAsia="仿宋_GB2312" w:hAnsi="Times New Roman"/>
          <w:sz w:val="30"/>
          <w:szCs w:val="30"/>
        </w:rPr>
        <w:t>年，近期至</w:t>
      </w:r>
      <w:r>
        <w:rPr>
          <w:rFonts w:ascii="Times New Roman" w:eastAsia="仿宋_GB2312" w:hAnsi="Times New Roman"/>
          <w:sz w:val="30"/>
          <w:szCs w:val="30"/>
        </w:rPr>
        <w:t>2030</w:t>
      </w:r>
      <w:r>
        <w:rPr>
          <w:rFonts w:ascii="Times New Roman" w:eastAsia="仿宋_GB2312" w:hAnsi="Times New Roman"/>
          <w:sz w:val="30"/>
          <w:szCs w:val="30"/>
        </w:rPr>
        <w:t>年。</w:t>
      </w:r>
    </w:p>
    <w:p w14:paraId="1D91F37E" w14:textId="77777777" w:rsidR="009F32BE" w:rsidRDefault="000B29A7">
      <w:pPr>
        <w:numPr>
          <w:ilvl w:val="0"/>
          <w:numId w:val="1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规划定位</w:t>
      </w:r>
    </w:p>
    <w:p w14:paraId="0336F1D5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以重大项目建设服务保障为核心，以转运站建设为依托，集物流中转、产业配套、生态宜居于一体的综合服务保障型村庄。</w:t>
      </w:r>
    </w:p>
    <w:p w14:paraId="6DE82FAC" w14:textId="77777777" w:rsidR="009F32BE" w:rsidRDefault="000B29A7">
      <w:pPr>
        <w:numPr>
          <w:ilvl w:val="0"/>
          <w:numId w:val="1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底线约束</w:t>
      </w:r>
    </w:p>
    <w:p w14:paraId="7F79DBA2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耕地保护目标。</w:t>
      </w:r>
      <w:r>
        <w:rPr>
          <w:rFonts w:ascii="Times New Roman" w:eastAsia="仿宋_GB2312" w:hAnsi="Times New Roman" w:hint="eastAsia"/>
          <w:sz w:val="30"/>
          <w:szCs w:val="30"/>
        </w:rPr>
        <w:t>根据巴宜区“三区三线”划定成果，</w:t>
      </w:r>
      <w:r>
        <w:rPr>
          <w:rFonts w:ascii="Times New Roman" w:eastAsia="仿宋_GB2312" w:hAnsi="Times New Roman" w:hint="eastAsia"/>
          <w:sz w:val="30"/>
          <w:szCs w:val="30"/>
        </w:rPr>
        <w:t>仲萨巴村</w:t>
      </w:r>
      <w:r>
        <w:rPr>
          <w:rFonts w:ascii="Times New Roman" w:eastAsia="仿宋_GB2312" w:hAnsi="Times New Roman" w:hint="eastAsia"/>
          <w:sz w:val="30"/>
          <w:szCs w:val="30"/>
        </w:rPr>
        <w:t>落实耕地保护目标</w:t>
      </w:r>
      <w:r>
        <w:rPr>
          <w:rFonts w:ascii="Times New Roman" w:eastAsia="仿宋_GB2312" w:hAnsi="Times New Roman" w:hint="eastAsia"/>
          <w:sz w:val="30"/>
          <w:szCs w:val="30"/>
        </w:rPr>
        <w:t>48.07</w:t>
      </w:r>
      <w:r>
        <w:rPr>
          <w:rFonts w:ascii="Times New Roman" w:eastAsia="仿宋_GB2312" w:hAnsi="Times New Roman" w:hint="eastAsia"/>
          <w:sz w:val="30"/>
          <w:szCs w:val="30"/>
        </w:rPr>
        <w:t>公顷（</w:t>
      </w:r>
      <w:r>
        <w:rPr>
          <w:rFonts w:ascii="Times New Roman" w:eastAsia="仿宋_GB2312" w:hAnsi="Times New Roman" w:hint="eastAsia"/>
          <w:sz w:val="30"/>
          <w:szCs w:val="30"/>
        </w:rPr>
        <w:t>721.05</w:t>
      </w:r>
      <w:r>
        <w:rPr>
          <w:rFonts w:ascii="Times New Roman" w:eastAsia="仿宋_GB2312" w:hAnsi="Times New Roman" w:hint="eastAsia"/>
          <w:sz w:val="30"/>
          <w:szCs w:val="30"/>
        </w:rPr>
        <w:t>亩）。</w:t>
      </w:r>
    </w:p>
    <w:p w14:paraId="00EBDA41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永久基本农田。</w:t>
      </w:r>
      <w:r>
        <w:rPr>
          <w:rFonts w:ascii="Times New Roman" w:eastAsia="仿宋_GB2312" w:hAnsi="Times New Roman" w:hint="eastAsia"/>
          <w:sz w:val="30"/>
          <w:szCs w:val="30"/>
        </w:rPr>
        <w:t>根据自然资源部下发巴宜区永久基本农田核实处置成果，</w:t>
      </w:r>
      <w:r>
        <w:rPr>
          <w:rFonts w:ascii="Times New Roman" w:eastAsia="仿宋_GB2312" w:hAnsi="Times New Roman" w:hint="eastAsia"/>
          <w:sz w:val="30"/>
          <w:szCs w:val="30"/>
        </w:rPr>
        <w:t>仲萨巴村</w:t>
      </w:r>
      <w:r>
        <w:rPr>
          <w:rFonts w:ascii="Times New Roman" w:eastAsia="仿宋_GB2312" w:hAnsi="Times New Roman" w:hint="eastAsia"/>
          <w:sz w:val="30"/>
          <w:szCs w:val="30"/>
        </w:rPr>
        <w:t>落实永久基本农田保护任务</w:t>
      </w:r>
      <w:r>
        <w:rPr>
          <w:rFonts w:ascii="Times New Roman" w:eastAsia="仿宋_GB2312" w:hAnsi="Times New Roman" w:hint="eastAsia"/>
          <w:sz w:val="30"/>
          <w:szCs w:val="30"/>
        </w:rPr>
        <w:t>35.96</w:t>
      </w:r>
      <w:r>
        <w:rPr>
          <w:rFonts w:ascii="Times New Roman" w:eastAsia="仿宋_GB2312" w:hAnsi="Times New Roman" w:hint="eastAsia"/>
          <w:sz w:val="30"/>
          <w:szCs w:val="30"/>
        </w:rPr>
        <w:t>公顷（</w:t>
      </w:r>
      <w:r>
        <w:rPr>
          <w:rFonts w:ascii="Times New Roman" w:eastAsia="仿宋_GB2312" w:hAnsi="Times New Roman" w:hint="eastAsia"/>
          <w:sz w:val="30"/>
          <w:szCs w:val="30"/>
        </w:rPr>
        <w:t>539.40</w:t>
      </w:r>
      <w:r>
        <w:rPr>
          <w:rFonts w:ascii="Times New Roman" w:eastAsia="仿宋_GB2312" w:hAnsi="Times New Roman" w:hint="eastAsia"/>
          <w:sz w:val="30"/>
          <w:szCs w:val="30"/>
        </w:rPr>
        <w:t>亩）。</w:t>
      </w:r>
    </w:p>
    <w:p w14:paraId="7320A196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生态保护红线。</w:t>
      </w:r>
      <w:r>
        <w:rPr>
          <w:rFonts w:ascii="Times New Roman" w:eastAsia="仿宋_GB2312" w:hAnsi="Times New Roman" w:hint="eastAsia"/>
          <w:sz w:val="30"/>
          <w:szCs w:val="30"/>
        </w:rPr>
        <w:t>根据巴宜区“三区三线”划定成果，</w:t>
      </w:r>
      <w:r>
        <w:rPr>
          <w:rFonts w:ascii="Times New Roman" w:eastAsia="仿宋_GB2312" w:hAnsi="Times New Roman" w:hint="eastAsia"/>
          <w:sz w:val="30"/>
          <w:szCs w:val="30"/>
        </w:rPr>
        <w:t>仲萨巴村</w:t>
      </w:r>
      <w:r>
        <w:rPr>
          <w:rFonts w:ascii="Times New Roman" w:eastAsia="仿宋_GB2312" w:hAnsi="Times New Roman" w:hint="eastAsia"/>
          <w:sz w:val="30"/>
          <w:szCs w:val="30"/>
        </w:rPr>
        <w:t>落实生态保护红线</w:t>
      </w:r>
      <w:r>
        <w:rPr>
          <w:rFonts w:ascii="Times New Roman" w:eastAsia="仿宋_GB2312" w:hAnsi="Times New Roman" w:hint="eastAsia"/>
          <w:sz w:val="30"/>
          <w:szCs w:val="30"/>
        </w:rPr>
        <w:t>1370.24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45E3FD9D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村庄建设边界。</w:t>
      </w:r>
      <w:r>
        <w:rPr>
          <w:rFonts w:ascii="Times New Roman" w:eastAsia="仿宋_GB2312" w:hAnsi="Times New Roman" w:hint="eastAsia"/>
          <w:sz w:val="30"/>
          <w:szCs w:val="30"/>
        </w:rPr>
        <w:t>仲萨巴村</w:t>
      </w:r>
      <w:r>
        <w:rPr>
          <w:rFonts w:ascii="Times New Roman" w:eastAsia="仿宋_GB2312" w:hAnsi="Times New Roman" w:hint="eastAsia"/>
          <w:sz w:val="30"/>
          <w:szCs w:val="30"/>
        </w:rPr>
        <w:t>共划定村庄建设边界</w:t>
      </w:r>
      <w:r>
        <w:rPr>
          <w:rFonts w:ascii="Times New Roman" w:eastAsia="仿宋_GB2312" w:hAnsi="Times New Roman" w:hint="eastAsia"/>
          <w:sz w:val="30"/>
          <w:szCs w:val="30"/>
        </w:rPr>
        <w:t>13.04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56855AA8" w14:textId="77777777" w:rsidR="009F32BE" w:rsidRDefault="000B29A7">
      <w:pPr>
        <w:numPr>
          <w:ilvl w:val="0"/>
          <w:numId w:val="1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国土空间用地结构优化</w:t>
      </w:r>
    </w:p>
    <w:p w14:paraId="54F3CB14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农用地优化。结合农业发展要求，统筹安排耕地、园地、林</w:t>
      </w:r>
      <w:r>
        <w:rPr>
          <w:rFonts w:ascii="Times New Roman" w:eastAsia="仿宋_GB2312" w:hAnsi="Times New Roman"/>
          <w:sz w:val="30"/>
          <w:szCs w:val="30"/>
        </w:rPr>
        <w:lastRenderedPageBreak/>
        <w:t>地等各类农用地，适当调整农用地结构。至规划期末，农用地面积</w:t>
      </w:r>
      <w:r>
        <w:rPr>
          <w:rFonts w:ascii="Times New Roman" w:eastAsia="仿宋_GB2312" w:hAnsi="Times New Roman" w:hint="eastAsia"/>
          <w:bCs/>
          <w:sz w:val="30"/>
          <w:szCs w:val="30"/>
        </w:rPr>
        <w:t>17786.84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27C29542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建设用地优化。按照</w:t>
      </w:r>
      <w:r>
        <w:rPr>
          <w:rFonts w:ascii="Times New Roman" w:eastAsia="仿宋_GB2312" w:hAnsi="Times New Roman"/>
          <w:sz w:val="30"/>
          <w:szCs w:val="30"/>
        </w:rPr>
        <w:t>“</w:t>
      </w:r>
      <w:r>
        <w:rPr>
          <w:rFonts w:ascii="Times New Roman" w:eastAsia="仿宋_GB2312" w:hAnsi="Times New Roman"/>
          <w:sz w:val="30"/>
          <w:szCs w:val="30"/>
        </w:rPr>
        <w:t>底线约束、节约集约、盘活存量、严控增量</w:t>
      </w:r>
      <w:r>
        <w:rPr>
          <w:rFonts w:ascii="Times New Roman" w:eastAsia="仿宋_GB2312" w:hAnsi="Times New Roman"/>
          <w:sz w:val="30"/>
          <w:szCs w:val="30"/>
        </w:rPr>
        <w:t>”</w:t>
      </w:r>
      <w:r>
        <w:rPr>
          <w:rFonts w:ascii="Times New Roman" w:eastAsia="仿宋_GB2312" w:hAnsi="Times New Roman"/>
          <w:sz w:val="30"/>
          <w:szCs w:val="30"/>
        </w:rPr>
        <w:t>要求，依法保障农村住房建设需求，统筹考虑生活服务配套设施完善和产业发展用地需求。至规划期末，建设用地面积</w:t>
      </w:r>
      <w:r>
        <w:rPr>
          <w:rFonts w:ascii="Times New Roman" w:eastAsia="仿宋_GB2312" w:hAnsi="Times New Roman" w:hint="eastAsia"/>
          <w:sz w:val="30"/>
          <w:szCs w:val="30"/>
        </w:rPr>
        <w:t>33.50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6EE4DA64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未利用地优化。至规划期末，未利用地面积</w:t>
      </w:r>
      <w:r>
        <w:rPr>
          <w:rFonts w:ascii="Times New Roman" w:eastAsia="仿宋_GB2312" w:hAnsi="Times New Roman" w:hint="eastAsia"/>
          <w:sz w:val="30"/>
          <w:szCs w:val="30"/>
        </w:rPr>
        <w:t>179.89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5C9B313A" w14:textId="77777777" w:rsidR="009F32BE" w:rsidRDefault="000B29A7">
      <w:pPr>
        <w:numPr>
          <w:ilvl w:val="0"/>
          <w:numId w:val="1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规划主要图纸</w:t>
      </w:r>
    </w:p>
    <w:p w14:paraId="48BC647F" w14:textId="77777777" w:rsidR="009F32BE" w:rsidRDefault="009F32BE">
      <w:pPr>
        <w:rPr>
          <w:rStyle w:val="a5"/>
          <w:rFonts w:hint="eastAsia"/>
        </w:rPr>
      </w:pPr>
    </w:p>
    <w:p w14:paraId="7E684196" w14:textId="77777777" w:rsidR="009F32BE" w:rsidRDefault="009F32BE">
      <w:pPr>
        <w:rPr>
          <w:rStyle w:val="a5"/>
          <w:rFonts w:hint="eastAsia"/>
        </w:rPr>
      </w:pPr>
    </w:p>
    <w:p w14:paraId="00A91573" w14:textId="77777777" w:rsidR="009F32BE" w:rsidRDefault="009F32BE">
      <w:pPr>
        <w:rPr>
          <w:rStyle w:val="a5"/>
          <w:rFonts w:hint="eastAsia"/>
        </w:rPr>
      </w:pPr>
    </w:p>
    <w:p w14:paraId="71A89D4A" w14:textId="77777777" w:rsidR="009F32BE" w:rsidRDefault="009F32BE">
      <w:pPr>
        <w:rPr>
          <w:rStyle w:val="a5"/>
          <w:rFonts w:hint="eastAsia"/>
        </w:rPr>
      </w:pPr>
    </w:p>
    <w:p w14:paraId="6CA708C8" w14:textId="77777777" w:rsidR="009F32BE" w:rsidRDefault="009F32BE">
      <w:pPr>
        <w:rPr>
          <w:rStyle w:val="a5"/>
          <w:rFonts w:hint="eastAsia"/>
        </w:rPr>
      </w:pPr>
    </w:p>
    <w:p w14:paraId="5F08D16C" w14:textId="77777777" w:rsidR="009F32BE" w:rsidRDefault="009F32BE">
      <w:pPr>
        <w:rPr>
          <w:rStyle w:val="a5"/>
          <w:rFonts w:hint="eastAsia"/>
        </w:rPr>
      </w:pPr>
    </w:p>
    <w:p w14:paraId="7057044F" w14:textId="77777777" w:rsidR="009F32BE" w:rsidRDefault="009F32BE">
      <w:pPr>
        <w:rPr>
          <w:rStyle w:val="a5"/>
          <w:rFonts w:hint="eastAsia"/>
        </w:rPr>
      </w:pPr>
    </w:p>
    <w:bookmarkEnd w:id="0"/>
    <w:bookmarkEnd w:id="1"/>
    <w:bookmarkEnd w:id="2"/>
    <w:bookmarkEnd w:id="3"/>
    <w:p w14:paraId="554D3000" w14:textId="77777777" w:rsidR="009F32BE" w:rsidRDefault="009F32BE">
      <w:pPr>
        <w:rPr>
          <w:rStyle w:val="a5"/>
          <w:rFonts w:hint="eastAsia"/>
        </w:rPr>
        <w:sectPr w:rsidR="009F32BE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0D376005" w14:textId="77777777" w:rsidR="009F32BE" w:rsidRDefault="000B29A7">
      <w:pPr>
        <w:jc w:val="center"/>
        <w:rPr>
          <w:rStyle w:val="a5"/>
          <w:rFonts w:hint="eastAsia"/>
        </w:rPr>
      </w:pPr>
      <w:r>
        <w:rPr>
          <w:rFonts w:ascii="Times New Roman" w:eastAsia="仿宋_GB2312" w:hAnsi="Times New Roman" w:hint="eastAsia"/>
          <w:b/>
          <w:bCs/>
          <w:noProof/>
          <w:sz w:val="30"/>
          <w:szCs w:val="30"/>
        </w:rPr>
        <w:lastRenderedPageBreak/>
        <w:drawing>
          <wp:inline distT="0" distB="0" distL="114300" distR="114300" wp14:anchorId="76151871" wp14:editId="2257AA1A">
            <wp:extent cx="7791450" cy="5507990"/>
            <wp:effectExtent l="0" t="0" r="0" b="16510"/>
            <wp:docPr id="3" name="图片 3" descr="F:/工作/项目文件/20260819第三批公布稿/改图/图片5.png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:/工作/项目文件/20260819第三批公布稿/改图/图片5.png图片5"/>
                    <pic:cNvPicPr>
                      <a:picLocks noChangeAspect="1"/>
                    </pic:cNvPicPr>
                  </pic:nvPicPr>
                  <pic:blipFill>
                    <a:blip r:embed="rId9"/>
                    <a:srcRect t="61" b="61"/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550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hint="eastAsia"/>
          <w:b/>
          <w:bCs/>
          <w:noProof/>
          <w:sz w:val="30"/>
          <w:szCs w:val="30"/>
        </w:rPr>
        <w:lastRenderedPageBreak/>
        <w:drawing>
          <wp:inline distT="0" distB="0" distL="114300" distR="114300" wp14:anchorId="18257573" wp14:editId="7017739F">
            <wp:extent cx="7791450" cy="5507990"/>
            <wp:effectExtent l="0" t="0" r="0" b="16510"/>
            <wp:docPr id="2" name="图片 2" descr="F:/工作/项目文件/20260819第三批公布稿/改图/图片6.png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:/工作/项目文件/20260819第三批公布稿/改图/图片6.png图片6"/>
                    <pic:cNvPicPr>
                      <a:picLocks noChangeAspect="1"/>
                    </pic:cNvPicPr>
                  </pic:nvPicPr>
                  <pic:blipFill>
                    <a:blip r:embed="rId10"/>
                    <a:srcRect t="61" b="61"/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550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B6880" w14:textId="77777777" w:rsidR="009F32BE" w:rsidRDefault="009F32BE">
      <w:pPr>
        <w:rPr>
          <w:rStyle w:val="a5"/>
          <w:rFonts w:hint="eastAsia"/>
        </w:rPr>
        <w:sectPr w:rsidR="009F32BE">
          <w:footerReference w:type="default" r:id="rId11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394B151" w14:textId="77777777" w:rsidR="009F32BE" w:rsidRDefault="000B29A7">
      <w:pPr>
        <w:jc w:val="center"/>
        <w:rPr>
          <w:rFonts w:ascii="Times New Roman" w:eastAsia="仿宋_GB2312" w:hAnsi="Times New Roman"/>
          <w:b/>
          <w:bCs/>
          <w:sz w:val="32"/>
          <w:szCs w:val="30"/>
        </w:rPr>
      </w:pPr>
      <w:r>
        <w:rPr>
          <w:rFonts w:ascii="Times New Roman" w:eastAsia="仿宋_GB2312" w:hAnsi="Times New Roman"/>
          <w:b/>
          <w:bCs/>
          <w:sz w:val="32"/>
          <w:szCs w:val="30"/>
        </w:rPr>
        <w:lastRenderedPageBreak/>
        <w:t>巴宜区</w:t>
      </w:r>
      <w:r>
        <w:rPr>
          <w:rFonts w:ascii="Times New Roman" w:eastAsia="仿宋_GB2312" w:hAnsi="Times New Roman" w:hint="eastAsia"/>
          <w:b/>
          <w:bCs/>
          <w:sz w:val="32"/>
          <w:szCs w:val="30"/>
        </w:rPr>
        <w:t>布久乡嘎玛</w:t>
      </w:r>
      <w:r>
        <w:rPr>
          <w:rFonts w:ascii="Times New Roman" w:eastAsia="仿宋_GB2312" w:hAnsi="Times New Roman"/>
          <w:b/>
          <w:bCs/>
          <w:sz w:val="32"/>
          <w:szCs w:val="30"/>
        </w:rPr>
        <w:t>村</w:t>
      </w:r>
      <w:r>
        <w:rPr>
          <w:rFonts w:ascii="Times New Roman" w:eastAsia="仿宋_GB2312" w:hAnsi="Times New Roman"/>
          <w:b/>
          <w:bCs/>
          <w:sz w:val="32"/>
          <w:szCs w:val="30"/>
        </w:rPr>
        <w:t>“</w:t>
      </w:r>
      <w:r>
        <w:rPr>
          <w:rFonts w:ascii="Times New Roman" w:eastAsia="仿宋_GB2312" w:hAnsi="Times New Roman"/>
          <w:b/>
          <w:bCs/>
          <w:sz w:val="32"/>
          <w:szCs w:val="30"/>
        </w:rPr>
        <w:t>多规合一</w:t>
      </w:r>
      <w:r>
        <w:rPr>
          <w:rFonts w:ascii="Times New Roman" w:eastAsia="仿宋_GB2312" w:hAnsi="Times New Roman"/>
          <w:b/>
          <w:bCs/>
          <w:sz w:val="32"/>
          <w:szCs w:val="30"/>
        </w:rPr>
        <w:t>”</w:t>
      </w:r>
      <w:r>
        <w:rPr>
          <w:rFonts w:ascii="Times New Roman" w:eastAsia="仿宋_GB2312" w:hAnsi="Times New Roman"/>
          <w:b/>
          <w:bCs/>
          <w:sz w:val="32"/>
          <w:szCs w:val="30"/>
        </w:rPr>
        <w:t>实用性村庄规划</w:t>
      </w:r>
    </w:p>
    <w:p w14:paraId="0A6360D2" w14:textId="77777777" w:rsidR="009F32BE" w:rsidRDefault="000B29A7">
      <w:pPr>
        <w:jc w:val="center"/>
        <w:rPr>
          <w:rFonts w:ascii="Times New Roman" w:eastAsia="仿宋_GB2312" w:hAnsi="Times New Roman"/>
          <w:b/>
          <w:bCs/>
          <w:sz w:val="32"/>
          <w:szCs w:val="30"/>
        </w:rPr>
      </w:pPr>
      <w:r>
        <w:rPr>
          <w:rFonts w:ascii="Times New Roman" w:eastAsia="仿宋_GB2312" w:hAnsi="Times New Roman"/>
          <w:b/>
          <w:bCs/>
          <w:sz w:val="32"/>
          <w:szCs w:val="30"/>
        </w:rPr>
        <w:t>（</w:t>
      </w:r>
      <w:r>
        <w:rPr>
          <w:rFonts w:ascii="Times New Roman" w:eastAsia="仿宋_GB2312" w:hAnsi="Times New Roman"/>
          <w:b/>
          <w:bCs/>
          <w:sz w:val="32"/>
          <w:szCs w:val="30"/>
        </w:rPr>
        <w:t>2024-2035</w:t>
      </w:r>
      <w:r>
        <w:rPr>
          <w:rFonts w:ascii="Times New Roman" w:eastAsia="仿宋_GB2312" w:hAnsi="Times New Roman"/>
          <w:b/>
          <w:bCs/>
          <w:sz w:val="32"/>
          <w:szCs w:val="30"/>
        </w:rPr>
        <w:t>年）</w:t>
      </w:r>
    </w:p>
    <w:p w14:paraId="21861D73" w14:textId="77777777" w:rsidR="009F32BE" w:rsidRDefault="000B29A7">
      <w:pPr>
        <w:numPr>
          <w:ilvl w:val="0"/>
          <w:numId w:val="2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规划范围</w:t>
      </w:r>
    </w:p>
    <w:p w14:paraId="3124915B" w14:textId="65656A08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本次规划范围为布久乡嘎玛村</w:t>
      </w:r>
      <w:r w:rsidRPr="000B29A7">
        <w:rPr>
          <w:rFonts w:ascii="Times New Roman" w:eastAsia="仿宋_GB2312" w:hAnsi="Times New Roman" w:hint="eastAsia"/>
          <w:sz w:val="30"/>
          <w:szCs w:val="30"/>
        </w:rPr>
        <w:t>村域全部国土空间</w:t>
      </w:r>
      <w:r>
        <w:rPr>
          <w:rFonts w:ascii="Times New Roman" w:eastAsia="仿宋_GB2312" w:hAnsi="Times New Roman" w:hint="eastAsia"/>
          <w:sz w:val="30"/>
          <w:szCs w:val="30"/>
        </w:rPr>
        <w:t>，总规划面积</w:t>
      </w:r>
      <w:r>
        <w:rPr>
          <w:rFonts w:ascii="Times New Roman" w:eastAsia="仿宋_GB2312" w:hAnsi="Times New Roman" w:hint="eastAsia"/>
          <w:sz w:val="30"/>
          <w:szCs w:val="30"/>
        </w:rPr>
        <w:t>1792.47</w:t>
      </w:r>
      <w:r>
        <w:rPr>
          <w:rFonts w:ascii="Times New Roman" w:eastAsia="仿宋_GB2312" w:hAnsi="Times New Roman"/>
          <w:sz w:val="30"/>
          <w:szCs w:val="30"/>
        </w:rPr>
        <w:t>公顷</w:t>
      </w:r>
      <w:r>
        <w:rPr>
          <w:rFonts w:ascii="Times New Roman" w:eastAsia="仿宋_GB2312" w:hAnsi="Times New Roman" w:hint="eastAsia"/>
          <w:sz w:val="30"/>
          <w:szCs w:val="30"/>
        </w:rPr>
        <w:t>。</w:t>
      </w:r>
    </w:p>
    <w:p w14:paraId="62E91BF6" w14:textId="77777777" w:rsidR="009F32BE" w:rsidRDefault="000B29A7">
      <w:pPr>
        <w:numPr>
          <w:ilvl w:val="0"/>
          <w:numId w:val="2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规划期限</w:t>
      </w:r>
    </w:p>
    <w:p w14:paraId="23E28648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本次规划期限为</w:t>
      </w:r>
      <w:r>
        <w:rPr>
          <w:rFonts w:ascii="Times New Roman" w:eastAsia="仿宋_GB2312" w:hAnsi="Times New Roman" w:hint="eastAsia"/>
          <w:sz w:val="30"/>
          <w:szCs w:val="30"/>
        </w:rPr>
        <w:t>2024-2035</w:t>
      </w:r>
      <w:r>
        <w:rPr>
          <w:rFonts w:ascii="Times New Roman" w:eastAsia="仿宋_GB2312" w:hAnsi="Times New Roman" w:hint="eastAsia"/>
          <w:sz w:val="30"/>
          <w:szCs w:val="30"/>
        </w:rPr>
        <w:t>年。规划基期年为</w:t>
      </w:r>
      <w:r>
        <w:rPr>
          <w:rFonts w:ascii="Times New Roman" w:eastAsia="仿宋_GB2312" w:hAnsi="Times New Roman" w:hint="eastAsia"/>
          <w:sz w:val="30"/>
          <w:szCs w:val="30"/>
        </w:rPr>
        <w:t>2023</w:t>
      </w:r>
      <w:r>
        <w:rPr>
          <w:rFonts w:ascii="Times New Roman" w:eastAsia="仿宋_GB2312" w:hAnsi="Times New Roman" w:hint="eastAsia"/>
          <w:sz w:val="30"/>
          <w:szCs w:val="30"/>
        </w:rPr>
        <w:t>年，目标年为</w:t>
      </w:r>
      <w:r>
        <w:rPr>
          <w:rFonts w:ascii="Times New Roman" w:eastAsia="仿宋_GB2312" w:hAnsi="Times New Roman" w:hint="eastAsia"/>
          <w:sz w:val="30"/>
          <w:szCs w:val="30"/>
        </w:rPr>
        <w:t>2035</w:t>
      </w:r>
      <w:r>
        <w:rPr>
          <w:rFonts w:ascii="Times New Roman" w:eastAsia="仿宋_GB2312" w:hAnsi="Times New Roman" w:hint="eastAsia"/>
          <w:sz w:val="30"/>
          <w:szCs w:val="30"/>
        </w:rPr>
        <w:t>年，近期至</w:t>
      </w:r>
      <w:r>
        <w:rPr>
          <w:rFonts w:ascii="Times New Roman" w:eastAsia="仿宋_GB2312" w:hAnsi="Times New Roman" w:hint="eastAsia"/>
          <w:sz w:val="30"/>
          <w:szCs w:val="30"/>
        </w:rPr>
        <w:t>2030</w:t>
      </w:r>
      <w:r>
        <w:rPr>
          <w:rFonts w:ascii="Times New Roman" w:eastAsia="仿宋_GB2312" w:hAnsi="Times New Roman" w:hint="eastAsia"/>
          <w:sz w:val="30"/>
          <w:szCs w:val="30"/>
        </w:rPr>
        <w:t>年。</w:t>
      </w:r>
    </w:p>
    <w:p w14:paraId="444650CC" w14:textId="77777777" w:rsidR="009F32BE" w:rsidRDefault="000B29A7">
      <w:pPr>
        <w:numPr>
          <w:ilvl w:val="0"/>
          <w:numId w:val="2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规划定位</w:t>
      </w:r>
    </w:p>
    <w:p w14:paraId="58967760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落实上位规划和文件的相关要求，立足村庄两江汇合、琼果林、则拉宗等生态人文资源，依托嘎玛村农业产业和旅游产业基础，以富民特色产业化发展为支撑，以生产生活环境改善、特色风貌塑造为重点。综合确定嘎玛村定位为：布久乡农文旅融合发展示范村。</w:t>
      </w:r>
    </w:p>
    <w:p w14:paraId="1F6E92D7" w14:textId="77777777" w:rsidR="009F32BE" w:rsidRDefault="000B29A7">
      <w:pPr>
        <w:numPr>
          <w:ilvl w:val="0"/>
          <w:numId w:val="2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底线约束</w:t>
      </w:r>
    </w:p>
    <w:p w14:paraId="70040A55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耕地保护目标。根据巴宜区“三区三线”划定成果，至</w:t>
      </w:r>
      <w:r>
        <w:rPr>
          <w:rFonts w:ascii="Times New Roman" w:eastAsia="仿宋_GB2312" w:hAnsi="Times New Roman" w:hint="eastAsia"/>
          <w:sz w:val="30"/>
          <w:szCs w:val="30"/>
        </w:rPr>
        <w:t>2035</w:t>
      </w:r>
      <w:r>
        <w:rPr>
          <w:rFonts w:ascii="Times New Roman" w:eastAsia="仿宋_GB2312" w:hAnsi="Times New Roman" w:hint="eastAsia"/>
          <w:sz w:val="30"/>
          <w:szCs w:val="30"/>
        </w:rPr>
        <w:t>年，落实嘎玛村耕地保有量为</w:t>
      </w:r>
      <w:r>
        <w:rPr>
          <w:rFonts w:ascii="Times New Roman" w:eastAsia="仿宋_GB2312" w:hAnsi="Times New Roman" w:hint="eastAsia"/>
          <w:sz w:val="30"/>
          <w:szCs w:val="30"/>
        </w:rPr>
        <w:t>110.20</w:t>
      </w:r>
      <w:r>
        <w:rPr>
          <w:rFonts w:ascii="Times New Roman" w:eastAsia="仿宋_GB2312" w:hAnsi="Times New Roman" w:hint="eastAsia"/>
          <w:sz w:val="30"/>
          <w:szCs w:val="30"/>
        </w:rPr>
        <w:t>公顷（</w:t>
      </w:r>
      <w:r>
        <w:rPr>
          <w:rFonts w:ascii="Times New Roman" w:eastAsia="仿宋_GB2312" w:hAnsi="Times New Roman" w:hint="eastAsia"/>
          <w:sz w:val="30"/>
          <w:szCs w:val="30"/>
        </w:rPr>
        <w:t>16</w:t>
      </w:r>
      <w:r>
        <w:rPr>
          <w:rFonts w:ascii="Times New Roman" w:eastAsia="仿宋_GB2312" w:hAnsi="Times New Roman" w:hint="eastAsia"/>
          <w:sz w:val="30"/>
          <w:szCs w:val="30"/>
        </w:rPr>
        <w:t>53.00</w:t>
      </w:r>
      <w:r>
        <w:rPr>
          <w:rFonts w:ascii="Times New Roman" w:eastAsia="仿宋_GB2312" w:hAnsi="Times New Roman" w:hint="eastAsia"/>
          <w:sz w:val="30"/>
          <w:szCs w:val="30"/>
        </w:rPr>
        <w:t>亩）。</w:t>
      </w:r>
    </w:p>
    <w:p w14:paraId="660D62FA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永久基本农田。根据自然资源部下发巴宜区永久基本农田核实处置成果，嘎玛村落实永久基本农田保护任务</w:t>
      </w:r>
      <w:r>
        <w:rPr>
          <w:rFonts w:ascii="Times New Roman" w:eastAsia="仿宋_GB2312" w:hAnsi="Times New Roman" w:hint="eastAsia"/>
          <w:sz w:val="30"/>
          <w:szCs w:val="30"/>
        </w:rPr>
        <w:t>104.43</w:t>
      </w:r>
      <w:r>
        <w:rPr>
          <w:rFonts w:ascii="Times New Roman" w:eastAsia="仿宋_GB2312" w:hAnsi="Times New Roman" w:hint="eastAsia"/>
          <w:sz w:val="30"/>
          <w:szCs w:val="30"/>
        </w:rPr>
        <w:t>公顷（</w:t>
      </w:r>
      <w:r>
        <w:rPr>
          <w:rFonts w:ascii="Times New Roman" w:eastAsia="仿宋_GB2312" w:hAnsi="Times New Roman" w:hint="eastAsia"/>
          <w:sz w:val="30"/>
          <w:szCs w:val="30"/>
        </w:rPr>
        <w:t>1566.45</w:t>
      </w:r>
      <w:r>
        <w:rPr>
          <w:rFonts w:ascii="Times New Roman" w:eastAsia="仿宋_GB2312" w:hAnsi="Times New Roman" w:hint="eastAsia"/>
          <w:sz w:val="30"/>
          <w:szCs w:val="30"/>
        </w:rPr>
        <w:t>亩）</w:t>
      </w:r>
      <w:r>
        <w:rPr>
          <w:rFonts w:ascii="Times New Roman" w:eastAsia="仿宋_GB2312" w:hAnsi="Times New Roman" w:hint="eastAsia"/>
          <w:sz w:val="30"/>
          <w:szCs w:val="30"/>
        </w:rPr>
        <w:t>。</w:t>
      </w:r>
    </w:p>
    <w:p w14:paraId="2A9AF3A7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生态保护红线。根据巴宜区“三区三线”划定成果，嘎玛村落实生态保护红线</w:t>
      </w:r>
      <w:r>
        <w:rPr>
          <w:rFonts w:ascii="Times New Roman" w:eastAsia="仿宋_GB2312" w:hAnsi="Times New Roman" w:hint="eastAsia"/>
          <w:sz w:val="30"/>
          <w:szCs w:val="30"/>
        </w:rPr>
        <w:t>445.46</w:t>
      </w:r>
      <w:r>
        <w:rPr>
          <w:rFonts w:ascii="Times New Roman" w:eastAsia="仿宋_GB2312" w:hAnsi="Times New Roman" w:hint="eastAsia"/>
          <w:sz w:val="30"/>
          <w:szCs w:val="30"/>
        </w:rPr>
        <w:t>公顷。</w:t>
      </w:r>
    </w:p>
    <w:p w14:paraId="1582178D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lastRenderedPageBreak/>
        <w:t>村庄建设边界。嘎玛村共划定村庄建设边界</w:t>
      </w:r>
      <w:r>
        <w:rPr>
          <w:rFonts w:ascii="Times New Roman" w:eastAsia="仿宋_GB2312" w:hAnsi="Times New Roman" w:hint="eastAsia"/>
          <w:sz w:val="30"/>
          <w:szCs w:val="30"/>
        </w:rPr>
        <w:t>15.35</w:t>
      </w:r>
      <w:r>
        <w:rPr>
          <w:rFonts w:ascii="Times New Roman" w:eastAsia="仿宋_GB2312" w:hAnsi="Times New Roman" w:hint="eastAsia"/>
          <w:sz w:val="30"/>
          <w:szCs w:val="30"/>
        </w:rPr>
        <w:t>公顷。</w:t>
      </w:r>
    </w:p>
    <w:p w14:paraId="3ACE3372" w14:textId="77777777" w:rsidR="009F32BE" w:rsidRDefault="000B29A7">
      <w:pPr>
        <w:numPr>
          <w:ilvl w:val="0"/>
          <w:numId w:val="2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国土空间用地结构优化</w:t>
      </w:r>
    </w:p>
    <w:p w14:paraId="1398713C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农用地优化。结合农业发展要求，统筹安排耕地、园地、林地等各类农用地，适当调整农用地结构。至规划期末，农用地面积</w:t>
      </w:r>
      <w:r>
        <w:rPr>
          <w:rFonts w:ascii="Times New Roman" w:eastAsia="仿宋_GB2312" w:hAnsi="Times New Roman" w:hint="eastAsia"/>
          <w:sz w:val="30"/>
          <w:szCs w:val="30"/>
        </w:rPr>
        <w:t>1217.08</w:t>
      </w:r>
      <w:r>
        <w:rPr>
          <w:rFonts w:ascii="Times New Roman" w:eastAsia="仿宋_GB2312" w:hAnsi="Times New Roman" w:hint="eastAsia"/>
          <w:sz w:val="30"/>
          <w:szCs w:val="30"/>
        </w:rPr>
        <w:t>公顷。</w:t>
      </w:r>
    </w:p>
    <w:p w14:paraId="5A3CD5F3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建设用地优化。按照“底线约束、节约集约、盘活存量、严控增量”要求，依法保障农村住房建设需求，统筹考虑生活服务配套设施完善和产业发展用地需求。至规划期末，建设用地面积</w:t>
      </w:r>
      <w:r>
        <w:rPr>
          <w:rFonts w:ascii="Times New Roman" w:eastAsia="仿宋_GB2312" w:hAnsi="Times New Roman" w:hint="eastAsia"/>
          <w:sz w:val="30"/>
          <w:szCs w:val="30"/>
        </w:rPr>
        <w:t>38.66</w:t>
      </w:r>
      <w:r>
        <w:rPr>
          <w:rFonts w:ascii="Times New Roman" w:eastAsia="仿宋_GB2312" w:hAnsi="Times New Roman" w:hint="eastAsia"/>
          <w:sz w:val="30"/>
          <w:szCs w:val="30"/>
        </w:rPr>
        <w:t>公顷。</w:t>
      </w:r>
    </w:p>
    <w:p w14:paraId="6AE8AC3B" w14:textId="77777777" w:rsidR="009F32BE" w:rsidRDefault="000B29A7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未利用地优化。至规划期末，未利用地面积</w:t>
      </w:r>
      <w:r>
        <w:rPr>
          <w:rFonts w:ascii="Times New Roman" w:eastAsia="仿宋_GB2312" w:hAnsi="Times New Roman" w:hint="eastAsia"/>
          <w:sz w:val="30"/>
          <w:szCs w:val="30"/>
        </w:rPr>
        <w:t>536.72</w:t>
      </w:r>
      <w:r>
        <w:rPr>
          <w:rFonts w:ascii="Times New Roman" w:eastAsia="仿宋_GB2312" w:hAnsi="Times New Roman" w:hint="eastAsia"/>
          <w:sz w:val="30"/>
          <w:szCs w:val="30"/>
        </w:rPr>
        <w:t>公顷。</w:t>
      </w:r>
    </w:p>
    <w:p w14:paraId="7B245548" w14:textId="77777777" w:rsidR="009F32BE" w:rsidRDefault="000B29A7">
      <w:pPr>
        <w:numPr>
          <w:ilvl w:val="0"/>
          <w:numId w:val="2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规划主要图纸</w:t>
      </w:r>
    </w:p>
    <w:p w14:paraId="3BE8A31E" w14:textId="77777777" w:rsidR="009F32BE" w:rsidRDefault="009F32BE">
      <w:pPr>
        <w:rPr>
          <w:rFonts w:hint="eastAsia"/>
        </w:rPr>
      </w:pPr>
    </w:p>
    <w:p w14:paraId="66C68864" w14:textId="77777777" w:rsidR="009F32BE" w:rsidRDefault="009F32BE">
      <w:pPr>
        <w:rPr>
          <w:rFonts w:hint="eastAsia"/>
        </w:rPr>
      </w:pPr>
    </w:p>
    <w:p w14:paraId="696B6401" w14:textId="77777777" w:rsidR="009F32BE" w:rsidRDefault="009F32BE">
      <w:pPr>
        <w:rPr>
          <w:rFonts w:hint="eastAsia"/>
        </w:rPr>
      </w:pPr>
    </w:p>
    <w:p w14:paraId="57E867FB" w14:textId="77777777" w:rsidR="009F32BE" w:rsidRDefault="009F32BE">
      <w:pPr>
        <w:rPr>
          <w:rFonts w:hint="eastAsia"/>
        </w:rPr>
      </w:pPr>
    </w:p>
    <w:p w14:paraId="09E9FE6D" w14:textId="77777777" w:rsidR="009F32BE" w:rsidRDefault="009F32BE">
      <w:pPr>
        <w:rPr>
          <w:rFonts w:hint="eastAsia"/>
        </w:rPr>
      </w:pPr>
    </w:p>
    <w:p w14:paraId="70D240D6" w14:textId="77777777" w:rsidR="009F32BE" w:rsidRDefault="009F32BE">
      <w:pPr>
        <w:rPr>
          <w:rFonts w:hint="eastAsia"/>
        </w:rPr>
      </w:pPr>
    </w:p>
    <w:p w14:paraId="4D0E3625" w14:textId="77777777" w:rsidR="009F32BE" w:rsidRDefault="009F32BE">
      <w:pPr>
        <w:rPr>
          <w:rFonts w:hint="eastAsia"/>
        </w:rPr>
        <w:sectPr w:rsidR="009F32BE">
          <w:footerReference w:type="default" r:id="rId12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35401291" w14:textId="77777777" w:rsidR="009F32BE" w:rsidRDefault="000B29A7">
      <w:pPr>
        <w:jc w:val="center"/>
        <w:rPr>
          <w:rFonts w:hint="eastAsia"/>
        </w:rPr>
      </w:pPr>
      <w:r>
        <w:rPr>
          <w:rFonts w:ascii="Times New Roman" w:eastAsia="仿宋_GB2312" w:hAnsi="Times New Roman" w:hint="eastAsia"/>
          <w:b/>
          <w:bCs/>
          <w:noProof/>
          <w:sz w:val="30"/>
          <w:szCs w:val="30"/>
        </w:rPr>
        <w:lastRenderedPageBreak/>
        <w:drawing>
          <wp:inline distT="0" distB="0" distL="114300" distR="114300" wp14:anchorId="4EBB9977" wp14:editId="0DFB4A11">
            <wp:extent cx="7791450" cy="5507990"/>
            <wp:effectExtent l="0" t="0" r="0" b="16510"/>
            <wp:docPr id="16" name="图片 16" descr="E:/工作/2024/B-巴宜区村规/2025/260819第三批公布稿/260820NQS-第三批公布稿（康扎村嘎玛村）/260820嘎玛村改图1.png260820嘎玛村改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E:/工作/2024/B-巴宜区村规/2025/260819第三批公布稿/260820NQS-第三批公布稿（康扎村嘎玛村）/260820嘎玛村改图1.png260820嘎玛村改图1"/>
                    <pic:cNvPicPr>
                      <a:picLocks noChangeAspect="1"/>
                    </pic:cNvPicPr>
                  </pic:nvPicPr>
                  <pic:blipFill>
                    <a:blip r:embed="rId13"/>
                    <a:srcRect t="94" b="94"/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550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hint="eastAsia"/>
          <w:b/>
          <w:bCs/>
          <w:noProof/>
          <w:sz w:val="30"/>
          <w:szCs w:val="30"/>
        </w:rPr>
        <w:lastRenderedPageBreak/>
        <w:drawing>
          <wp:inline distT="0" distB="0" distL="114300" distR="114300" wp14:anchorId="7C552DDD" wp14:editId="6ACD6042">
            <wp:extent cx="7791450" cy="5507990"/>
            <wp:effectExtent l="0" t="0" r="0" b="16510"/>
            <wp:docPr id="17" name="图片 17" descr="E:/工作/2024/B-巴宜区村规/2025/260819第三批公布稿/260820NQS-第三批公布稿（康扎村嘎玛村）/260820嘎玛村改图2.png260820嘎玛村改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E:/工作/2024/B-巴宜区村规/2025/260819第三批公布稿/260820NQS-第三批公布稿（康扎村嘎玛村）/260820嘎玛村改图2.png260820嘎玛村改图2"/>
                    <pic:cNvPicPr>
                      <a:picLocks noChangeAspect="1"/>
                    </pic:cNvPicPr>
                  </pic:nvPicPr>
                  <pic:blipFill>
                    <a:blip r:embed="rId14"/>
                    <a:srcRect t="94" b="94"/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550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32BE">
      <w:footerReference w:type="default" r:id="rId15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0ADD8" w14:textId="77777777" w:rsidR="000B29A7" w:rsidRDefault="000B29A7">
      <w:pPr>
        <w:rPr>
          <w:rFonts w:hint="eastAsia"/>
        </w:rPr>
      </w:pPr>
      <w:r>
        <w:separator/>
      </w:r>
    </w:p>
  </w:endnote>
  <w:endnote w:type="continuationSeparator" w:id="0">
    <w:p w14:paraId="693269BB" w14:textId="77777777" w:rsidR="000B29A7" w:rsidRDefault="000B29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A9892" w14:textId="77777777" w:rsidR="009F32BE" w:rsidRDefault="000B29A7">
    <w:pPr>
      <w:tabs>
        <w:tab w:val="center" w:pos="4153"/>
        <w:tab w:val="right" w:pos="8306"/>
      </w:tabs>
      <w:snapToGrid w:val="0"/>
      <w:jc w:val="left"/>
      <w:rPr>
        <w:rFonts w:hint="eastAsia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5885C2" wp14:editId="24102AE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B6523D" w14:textId="77777777" w:rsidR="009F32BE" w:rsidRDefault="000B29A7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5885C2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AB6523D" w14:textId="77777777" w:rsidR="009F32BE" w:rsidRDefault="000B29A7">
                    <w:pPr>
                      <w:pStyle w:val="a3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B2CE2" w14:textId="77777777" w:rsidR="009F32BE" w:rsidRDefault="000B29A7">
    <w:pPr>
      <w:tabs>
        <w:tab w:val="center" w:pos="4153"/>
        <w:tab w:val="right" w:pos="8306"/>
      </w:tabs>
      <w:snapToGrid w:val="0"/>
      <w:jc w:val="left"/>
      <w:rPr>
        <w:rFonts w:hint="eastAsia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49FDEA" wp14:editId="009EBD5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9997BC" w14:textId="77777777" w:rsidR="009F32BE" w:rsidRDefault="000B29A7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9FDEA"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179997BC" w14:textId="77777777" w:rsidR="009F32BE" w:rsidRDefault="000B29A7">
                    <w:pPr>
                      <w:pStyle w:val="a3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20A0C" w14:textId="77777777" w:rsidR="009F32BE" w:rsidRDefault="000B29A7">
    <w:pPr>
      <w:tabs>
        <w:tab w:val="center" w:pos="4153"/>
        <w:tab w:val="right" w:pos="8306"/>
      </w:tabs>
      <w:snapToGrid w:val="0"/>
      <w:jc w:val="left"/>
      <w:rPr>
        <w:rFonts w:hint="eastAsia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4D3A44D" wp14:editId="2653000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5DB684" w14:textId="77777777" w:rsidR="009F32BE" w:rsidRDefault="000B29A7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3A44D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8" type="#_x0000_t202" style="position:absolute;margin-left:0;margin-top:0;width:2in;height:2in;z-index:25165619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" filled="f" stroked="f" strokeweight=".5pt">
              <v:textbox style="mso-fit-shape-to-text:t" inset="0,0,0,0">
                <w:txbxContent>
                  <w:p w14:paraId="215DB684" w14:textId="77777777" w:rsidR="009F32BE" w:rsidRDefault="000B29A7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6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58EBC" w14:textId="77777777" w:rsidR="009F32BE" w:rsidRDefault="000B29A7">
    <w:pPr>
      <w:tabs>
        <w:tab w:val="center" w:pos="4153"/>
        <w:tab w:val="right" w:pos="8306"/>
      </w:tabs>
      <w:snapToGrid w:val="0"/>
      <w:jc w:val="left"/>
      <w:rPr>
        <w:rFonts w:hint="eastAsia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35F579" wp14:editId="0616FB6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F858CD" w14:textId="77777777" w:rsidR="009F32BE" w:rsidRDefault="000B29A7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35F579" id="_x0000_t202" coordsize="21600,21600" o:spt="202" path="m,l,21600r21600,l21600,xe">
              <v:stroke joinstyle="miter"/>
              <v:path gradientshapeok="t" o:connecttype="rect"/>
            </v:shapetype>
            <v:shape id="文本框 15" o:spid="_x0000_s1029" type="#_x0000_t202" style="position:absolute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" filled="f" stroked="f" strokeweight=".5pt">
              <v:textbox style="mso-fit-shape-to-text:t" inset="0,0,0,0">
                <w:txbxContent>
                  <w:p w14:paraId="74F858CD" w14:textId="77777777" w:rsidR="009F32BE" w:rsidRDefault="000B29A7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6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04CDB" w14:textId="77777777" w:rsidR="000B29A7" w:rsidRDefault="000B29A7">
      <w:pPr>
        <w:rPr>
          <w:rFonts w:hint="eastAsia"/>
        </w:rPr>
      </w:pPr>
      <w:r>
        <w:separator/>
      </w:r>
    </w:p>
  </w:footnote>
  <w:footnote w:type="continuationSeparator" w:id="0">
    <w:p w14:paraId="4E141474" w14:textId="77777777" w:rsidR="000B29A7" w:rsidRDefault="000B29A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0BD69D"/>
    <w:multiLevelType w:val="singleLevel"/>
    <w:tmpl w:val="E00BD69D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EE679A8C"/>
    <w:multiLevelType w:val="singleLevel"/>
    <w:tmpl w:val="EE679A8C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 w16cid:durableId="721640295">
    <w:abstractNumId w:val="1"/>
  </w:num>
  <w:num w:numId="2" w16cid:durableId="707801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C9B0C50"/>
    <w:rsid w:val="000B29A7"/>
    <w:rsid w:val="00845AAC"/>
    <w:rsid w:val="009F32BE"/>
    <w:rsid w:val="071D06E9"/>
    <w:rsid w:val="0C09427E"/>
    <w:rsid w:val="4029384F"/>
    <w:rsid w:val="51883523"/>
    <w:rsid w:val="5C9B0C50"/>
    <w:rsid w:val="73C6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82EE7F"/>
  <w15:docId w15:val="{21573258-7861-4357-8662-E62CCFAB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annotation reference" w:uiPriority="99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annotation reference"/>
    <w:basedOn w:val="a0"/>
    <w:uiPriority w:val="99"/>
    <w:unhideWhenUsed/>
    <w:qFormat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我的名字</dc:creator>
  <cp:lastModifiedBy>颖兰 张</cp:lastModifiedBy>
  <cp:revision>2</cp:revision>
  <dcterms:created xsi:type="dcterms:W3CDTF">2026-08-21T09:32:00Z</dcterms:created>
  <dcterms:modified xsi:type="dcterms:W3CDTF">2026-08-24T03:23:00Z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D135107788094FEFB43AC7CE31853E53_11</vt:lpwstr>
  </property>
  <property fmtid="{D5CDD505-2E9C-101B-9397-08002B2CF9AE}" pid="4" name="KSOTemplateDocerSaveRecord">
    <vt:lpwstr>eyJoZGlkIjoiN2MzNmZlZmM0M2M4YTZmYWZhMzc3OTJiMGU5MzA4ZTYiLCJ1c2VySWQiOiIyNTczNTk1MzIifQ==</vt:lpwstr>
  </property>
</Properties>
</file>