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6E86D">
      <w:pPr>
        <w:jc w:val="center"/>
        <w:rPr>
          <w:rFonts w:ascii="Times New Roman" w:hAnsi="Times New Roman" w:eastAsia="仿宋_GB2312"/>
          <w:b/>
          <w:bCs/>
          <w:sz w:val="32"/>
          <w:szCs w:val="30"/>
        </w:rPr>
      </w:pPr>
      <w:bookmarkStart w:id="0" w:name="_Toc135242029"/>
      <w:bookmarkStart w:id="1" w:name="_Toc137219254"/>
      <w:bookmarkStart w:id="2" w:name="_Toc149754992"/>
      <w:bookmarkStart w:id="3" w:name="_Toc135213675"/>
      <w:r>
        <w:rPr>
          <w:rFonts w:ascii="Times New Roman" w:hAnsi="Times New Roman" w:eastAsia="仿宋_GB2312"/>
          <w:b/>
          <w:bCs/>
          <w:sz w:val="32"/>
          <w:szCs w:val="30"/>
        </w:rPr>
        <w:t>巴宜区</w:t>
      </w:r>
      <w:r>
        <w:rPr>
          <w:rFonts w:hint="eastAsia" w:ascii="Times New Roman" w:hAnsi="Times New Roman" w:eastAsia="仿宋_GB2312"/>
          <w:b/>
          <w:bCs/>
          <w:sz w:val="32"/>
          <w:szCs w:val="30"/>
          <w:lang w:val="en-US" w:eastAsia="zh-CN"/>
        </w:rPr>
        <w:t>林芝</w:t>
      </w:r>
      <w:r>
        <w:rPr>
          <w:rFonts w:ascii="Times New Roman" w:hAnsi="Times New Roman" w:eastAsia="仿宋_GB2312"/>
          <w:b/>
          <w:bCs/>
          <w:sz w:val="32"/>
          <w:szCs w:val="30"/>
        </w:rPr>
        <w:t>镇</w:t>
      </w:r>
      <w:r>
        <w:rPr>
          <w:rFonts w:hint="eastAsia" w:ascii="Times New Roman" w:hAnsi="Times New Roman" w:eastAsia="仿宋_GB2312"/>
          <w:b/>
          <w:bCs/>
          <w:sz w:val="32"/>
          <w:szCs w:val="30"/>
          <w:lang w:val="en-US" w:eastAsia="zh-CN"/>
        </w:rPr>
        <w:t>立定</w:t>
      </w:r>
      <w:r>
        <w:rPr>
          <w:rFonts w:ascii="Times New Roman" w:hAnsi="Times New Roman" w:eastAsia="仿宋_GB2312"/>
          <w:b/>
          <w:bCs/>
          <w:sz w:val="32"/>
          <w:szCs w:val="30"/>
        </w:rPr>
        <w:t>村“多规合一”实用性村庄规划</w:t>
      </w:r>
    </w:p>
    <w:p w14:paraId="7DC7520C">
      <w:pPr>
        <w:jc w:val="center"/>
        <w:rPr>
          <w:rFonts w:ascii="Times New Roman" w:hAnsi="Times New Roman" w:eastAsia="仿宋_GB2312"/>
          <w:b/>
          <w:bCs/>
          <w:sz w:val="32"/>
          <w:szCs w:val="30"/>
        </w:rPr>
      </w:pPr>
      <w:r>
        <w:rPr>
          <w:rFonts w:ascii="Times New Roman" w:hAnsi="Times New Roman" w:eastAsia="仿宋_GB2312"/>
          <w:b/>
          <w:bCs/>
          <w:sz w:val="32"/>
          <w:szCs w:val="30"/>
        </w:rPr>
        <w:t>（2024-2035年）</w:t>
      </w:r>
    </w:p>
    <w:p w14:paraId="64A864E4">
      <w:pPr>
        <w:keepNext w:val="0"/>
        <w:keepLines w:val="0"/>
        <w:pageBreakBefore w:val="0"/>
        <w:widowControl w:val="0"/>
        <w:numPr>
          <w:ilvl w:val="0"/>
          <w:numId w:val="1"/>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规划范围</w:t>
      </w:r>
    </w:p>
    <w:p w14:paraId="41345121">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本次规划范围为</w:t>
      </w:r>
      <w:r>
        <w:rPr>
          <w:rFonts w:hint="eastAsia" w:ascii="Times New Roman" w:hAnsi="Times New Roman" w:eastAsia="仿宋_GB2312"/>
          <w:sz w:val="30"/>
          <w:szCs w:val="30"/>
          <w:lang w:eastAsia="zh-CN"/>
        </w:rPr>
        <w:t>林芝镇立定村</w:t>
      </w:r>
      <w:r>
        <w:rPr>
          <w:rFonts w:hint="eastAsia" w:ascii="Times New Roman" w:hAnsi="Times New Roman" w:eastAsia="仿宋_GB2312"/>
          <w:sz w:val="30"/>
          <w:szCs w:val="30"/>
        </w:rPr>
        <w:t>村域全部国土空间，规划总面积2484.02公顷。</w:t>
      </w:r>
    </w:p>
    <w:p w14:paraId="3116C318">
      <w:pPr>
        <w:keepNext w:val="0"/>
        <w:keepLines w:val="0"/>
        <w:pageBreakBefore w:val="0"/>
        <w:widowControl w:val="0"/>
        <w:numPr>
          <w:ilvl w:val="0"/>
          <w:numId w:val="1"/>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规划期限</w:t>
      </w:r>
    </w:p>
    <w:p w14:paraId="2BE1CC6B">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本次规划期限为2024-2035年。规划基期年为2023年，目标年为2035年，近期至2030年。</w:t>
      </w:r>
    </w:p>
    <w:p w14:paraId="0C5E8E53">
      <w:pPr>
        <w:keepNext w:val="0"/>
        <w:keepLines w:val="0"/>
        <w:pageBreakBefore w:val="0"/>
        <w:widowControl w:val="0"/>
        <w:numPr>
          <w:ilvl w:val="0"/>
          <w:numId w:val="1"/>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规划定位</w:t>
      </w:r>
    </w:p>
    <w:p w14:paraId="07FA58DD">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立足农牧产业基础及雅尼国家湿地公园、苯日山景区、解放颂红色研学馆、“乡村振兴示范村”项目等特色旅游资源，以红色文化与生态旅游深度融合、绿色发展与乡村振兴协同推进为目标，综合确定立定村规划定位为：以红色文化为特色的“雅江第一村”。</w:t>
      </w:r>
    </w:p>
    <w:p w14:paraId="7D2DA6D9">
      <w:pPr>
        <w:keepNext w:val="0"/>
        <w:keepLines w:val="0"/>
        <w:pageBreakBefore w:val="0"/>
        <w:widowControl w:val="0"/>
        <w:numPr>
          <w:ilvl w:val="0"/>
          <w:numId w:val="1"/>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底线约束</w:t>
      </w:r>
    </w:p>
    <w:p w14:paraId="511F6201">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耕地保护目标。根据巴宜区“三区三线”划定成果，</w:t>
      </w:r>
      <w:r>
        <w:rPr>
          <w:rFonts w:hint="eastAsia" w:ascii="Times New Roman" w:hAnsi="Times New Roman" w:eastAsia="仿宋_GB2312"/>
          <w:sz w:val="30"/>
          <w:szCs w:val="30"/>
          <w:lang w:eastAsia="zh-CN"/>
        </w:rPr>
        <w:t>立定村</w:t>
      </w:r>
      <w:r>
        <w:rPr>
          <w:rFonts w:hint="eastAsia" w:ascii="Times New Roman" w:hAnsi="Times New Roman" w:eastAsia="仿宋_GB2312"/>
          <w:sz w:val="30"/>
          <w:szCs w:val="30"/>
        </w:rPr>
        <w:t>落实耕地保护目标2</w:t>
      </w:r>
      <w:r>
        <w:rPr>
          <w:rFonts w:hint="eastAsia" w:ascii="Times New Roman" w:hAnsi="Times New Roman" w:eastAsia="仿宋_GB2312"/>
          <w:sz w:val="30"/>
          <w:szCs w:val="30"/>
          <w:lang w:val="en-US" w:eastAsia="zh-CN"/>
        </w:rPr>
        <w:t>09.23</w:t>
      </w:r>
      <w:r>
        <w:rPr>
          <w:rFonts w:hint="eastAsia" w:ascii="Times New Roman" w:hAnsi="Times New Roman" w:eastAsia="仿宋_GB2312"/>
          <w:sz w:val="30"/>
          <w:szCs w:val="30"/>
        </w:rPr>
        <w:t>公顷（3</w:t>
      </w:r>
      <w:r>
        <w:rPr>
          <w:rFonts w:hint="eastAsia" w:ascii="Times New Roman" w:hAnsi="Times New Roman" w:eastAsia="仿宋_GB2312"/>
          <w:sz w:val="30"/>
          <w:szCs w:val="30"/>
          <w:lang w:val="en-US" w:eastAsia="zh-CN"/>
        </w:rPr>
        <w:t>1</w:t>
      </w:r>
      <w:r>
        <w:rPr>
          <w:rFonts w:hint="eastAsia" w:ascii="Times New Roman" w:hAnsi="Times New Roman" w:eastAsia="仿宋_GB2312"/>
          <w:sz w:val="30"/>
          <w:szCs w:val="30"/>
        </w:rPr>
        <w:t>38.</w:t>
      </w:r>
      <w:r>
        <w:rPr>
          <w:rFonts w:hint="eastAsia" w:ascii="Times New Roman" w:hAnsi="Times New Roman" w:eastAsia="仿宋_GB2312"/>
          <w:sz w:val="30"/>
          <w:szCs w:val="30"/>
          <w:lang w:val="en-US" w:eastAsia="zh-CN"/>
        </w:rPr>
        <w:t>45</w:t>
      </w:r>
      <w:r>
        <w:rPr>
          <w:rFonts w:hint="eastAsia" w:ascii="Times New Roman" w:hAnsi="Times New Roman" w:eastAsia="仿宋_GB2312"/>
          <w:sz w:val="30"/>
          <w:szCs w:val="30"/>
        </w:rPr>
        <w:t>亩）。</w:t>
      </w:r>
    </w:p>
    <w:p w14:paraId="6899B185">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永久基本农田。根据自然资源部下发巴宜区永久基本农田核实处置成果，</w:t>
      </w:r>
      <w:r>
        <w:rPr>
          <w:rFonts w:hint="eastAsia" w:ascii="Times New Roman" w:hAnsi="Times New Roman" w:eastAsia="仿宋_GB2312"/>
          <w:sz w:val="30"/>
          <w:szCs w:val="30"/>
          <w:lang w:eastAsia="zh-CN"/>
        </w:rPr>
        <w:t>立定村</w:t>
      </w:r>
      <w:r>
        <w:rPr>
          <w:rFonts w:hint="eastAsia" w:ascii="Times New Roman" w:hAnsi="Times New Roman" w:eastAsia="仿宋_GB2312"/>
          <w:sz w:val="30"/>
          <w:szCs w:val="30"/>
        </w:rPr>
        <w:t>落实永久基本农田保护任务20</w:t>
      </w:r>
      <w:r>
        <w:rPr>
          <w:rFonts w:hint="eastAsia" w:ascii="Times New Roman" w:hAnsi="Times New Roman" w:eastAsia="仿宋_GB2312"/>
          <w:sz w:val="30"/>
          <w:szCs w:val="30"/>
          <w:lang w:val="en-US" w:eastAsia="zh-CN"/>
        </w:rPr>
        <w:t>0</w:t>
      </w: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17</w:t>
      </w:r>
      <w:r>
        <w:rPr>
          <w:rFonts w:hint="eastAsia" w:ascii="Times New Roman" w:hAnsi="Times New Roman" w:eastAsia="仿宋_GB2312"/>
          <w:sz w:val="30"/>
          <w:szCs w:val="30"/>
        </w:rPr>
        <w:t>公顷（30</w:t>
      </w:r>
      <w:r>
        <w:rPr>
          <w:rFonts w:hint="eastAsia" w:ascii="Times New Roman" w:hAnsi="Times New Roman" w:eastAsia="仿宋_GB2312"/>
          <w:sz w:val="30"/>
          <w:szCs w:val="30"/>
          <w:lang w:val="en-US" w:eastAsia="zh-CN"/>
        </w:rPr>
        <w:t>02</w:t>
      </w: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55</w:t>
      </w:r>
      <w:r>
        <w:rPr>
          <w:rFonts w:hint="eastAsia" w:ascii="Times New Roman" w:hAnsi="Times New Roman" w:eastAsia="仿宋_GB2312"/>
          <w:sz w:val="30"/>
          <w:szCs w:val="30"/>
        </w:rPr>
        <w:t>亩）。</w:t>
      </w:r>
    </w:p>
    <w:p w14:paraId="21164D4D">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生态保护红线。根据巴宜区“三区三线”划定成果，</w:t>
      </w:r>
      <w:r>
        <w:rPr>
          <w:rFonts w:hint="eastAsia" w:ascii="Times New Roman" w:hAnsi="Times New Roman" w:eastAsia="仿宋_GB2312"/>
          <w:sz w:val="30"/>
          <w:szCs w:val="30"/>
          <w:lang w:eastAsia="zh-CN"/>
        </w:rPr>
        <w:t>立定村</w:t>
      </w:r>
      <w:r>
        <w:rPr>
          <w:rFonts w:hint="eastAsia" w:ascii="Times New Roman" w:hAnsi="Times New Roman" w:eastAsia="仿宋_GB2312"/>
          <w:sz w:val="30"/>
          <w:szCs w:val="30"/>
        </w:rPr>
        <w:t>落实生态保护红线</w:t>
      </w:r>
      <w:r>
        <w:rPr>
          <w:rFonts w:hint="eastAsia" w:ascii="Times New Roman" w:hAnsi="Times New Roman" w:eastAsia="仿宋_GB2312"/>
          <w:sz w:val="30"/>
          <w:szCs w:val="30"/>
          <w:lang w:val="en-US" w:eastAsia="zh-CN"/>
        </w:rPr>
        <w:t>1460.70</w:t>
      </w:r>
      <w:r>
        <w:rPr>
          <w:rFonts w:hint="eastAsia" w:ascii="Times New Roman" w:hAnsi="Times New Roman" w:eastAsia="仿宋_GB2312"/>
          <w:sz w:val="30"/>
          <w:szCs w:val="30"/>
        </w:rPr>
        <w:t>公顷。</w:t>
      </w:r>
    </w:p>
    <w:p w14:paraId="30B9AD3C">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村庄建设边界。</w:t>
      </w:r>
      <w:r>
        <w:rPr>
          <w:rFonts w:hint="eastAsia" w:ascii="Times New Roman" w:hAnsi="Times New Roman" w:eastAsia="仿宋_GB2312"/>
          <w:sz w:val="30"/>
          <w:szCs w:val="30"/>
          <w:lang w:eastAsia="zh-CN"/>
        </w:rPr>
        <w:t>立定村</w:t>
      </w:r>
      <w:r>
        <w:rPr>
          <w:rFonts w:hint="eastAsia" w:ascii="Times New Roman" w:hAnsi="Times New Roman" w:eastAsia="仿宋_GB2312"/>
          <w:sz w:val="30"/>
          <w:szCs w:val="30"/>
        </w:rPr>
        <w:t>共划定村庄建设边界</w:t>
      </w:r>
      <w:r>
        <w:rPr>
          <w:rFonts w:hint="eastAsia" w:ascii="Times New Roman" w:hAnsi="Times New Roman" w:eastAsia="仿宋_GB2312"/>
          <w:sz w:val="30"/>
          <w:szCs w:val="30"/>
          <w:lang w:val="en-US" w:eastAsia="zh-CN"/>
        </w:rPr>
        <w:t>17.77</w:t>
      </w:r>
      <w:r>
        <w:rPr>
          <w:rFonts w:hint="eastAsia" w:ascii="Times New Roman" w:hAnsi="Times New Roman" w:eastAsia="仿宋_GB2312"/>
          <w:sz w:val="30"/>
          <w:szCs w:val="30"/>
        </w:rPr>
        <w:t>公顷。</w:t>
      </w:r>
    </w:p>
    <w:p w14:paraId="3EA25200">
      <w:pPr>
        <w:keepNext w:val="0"/>
        <w:keepLines w:val="0"/>
        <w:pageBreakBefore w:val="0"/>
        <w:widowControl w:val="0"/>
        <w:numPr>
          <w:ilvl w:val="0"/>
          <w:numId w:val="1"/>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国土空间用地结构优化</w:t>
      </w:r>
    </w:p>
    <w:p w14:paraId="3E3C4D43">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农用地优化。结合农业发展要求，统筹安排耕地、园地、林地等各类农用地，适当调整农用地结构。至规划期末，农用地面积1876.3公顷。</w:t>
      </w:r>
    </w:p>
    <w:p w14:paraId="7BA106BB">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建设用地优化。按照“底线约束、节约集约、盘活存量、严控增量”要求，依法保障农村住房建设需求，统筹考虑生活服务配套设施完善和产业发展用地需求。至规划期末，建设用地面积39.1</w:t>
      </w:r>
      <w:r>
        <w:rPr>
          <w:rFonts w:hint="eastAsia" w:ascii="Times New Roman" w:hAnsi="Times New Roman" w:eastAsia="仿宋_GB2312"/>
          <w:sz w:val="30"/>
          <w:szCs w:val="30"/>
          <w:lang w:val="en-US" w:eastAsia="zh-CN"/>
        </w:rPr>
        <w:t>9</w:t>
      </w:r>
      <w:r>
        <w:rPr>
          <w:rFonts w:hint="eastAsia" w:ascii="Times New Roman" w:hAnsi="Times New Roman" w:eastAsia="仿宋_GB2312"/>
          <w:sz w:val="30"/>
          <w:szCs w:val="30"/>
        </w:rPr>
        <w:t>公顷。</w:t>
      </w:r>
    </w:p>
    <w:p w14:paraId="6BECCEF7">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未利用地优化。至规划期末，未利用地面积568.53公顷。</w:t>
      </w:r>
    </w:p>
    <w:p w14:paraId="27A7D27D">
      <w:pPr>
        <w:keepNext w:val="0"/>
        <w:keepLines w:val="0"/>
        <w:pageBreakBefore w:val="0"/>
        <w:widowControl w:val="0"/>
        <w:numPr>
          <w:ilvl w:val="0"/>
          <w:numId w:val="1"/>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规划主要图纸</w:t>
      </w:r>
    </w:p>
    <w:p w14:paraId="3CE5988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ascii="Times New Roman" w:hAnsi="Times New Roman" w:eastAsia="仿宋_GB2312"/>
          <w:b/>
          <w:bCs/>
          <w:sz w:val="30"/>
          <w:szCs w:val="30"/>
        </w:rPr>
      </w:pPr>
    </w:p>
    <w:p w14:paraId="561E664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ascii="Times New Roman" w:hAnsi="Times New Roman" w:eastAsia="仿宋_GB2312"/>
          <w:b/>
          <w:bCs/>
          <w:sz w:val="30"/>
          <w:szCs w:val="30"/>
        </w:rPr>
        <w:sectPr>
          <w:footerReference r:id="rId3" w:type="default"/>
          <w:pgSz w:w="11906" w:h="16838"/>
          <w:pgMar w:top="1440" w:right="1800" w:bottom="1440" w:left="1800" w:header="851" w:footer="992" w:gutter="0"/>
          <w:pgNumType w:fmt="decimal"/>
          <w:cols w:space="425" w:num="1"/>
          <w:docGrid w:type="lines" w:linePitch="312" w:charSpace="0"/>
        </w:sectPr>
      </w:pPr>
    </w:p>
    <w:bookmarkEnd w:id="0"/>
    <w:bookmarkEnd w:id="1"/>
    <w:bookmarkEnd w:id="2"/>
    <w:bookmarkEnd w:id="3"/>
    <w:p w14:paraId="1721F526">
      <w:pPr>
        <w:jc w:val="center"/>
        <w:rPr>
          <w:rStyle w:val="6"/>
          <w:rFonts w:hint="eastAsia" w:eastAsia="等线"/>
          <w:lang w:eastAsia="zh-CN"/>
        </w:rPr>
      </w:pPr>
      <w:r>
        <w:rPr>
          <w:rFonts w:hint="eastAsia" w:ascii="Times New Roman" w:hAnsi="Times New Roman" w:eastAsia="仿宋_GB2312"/>
          <w:b/>
          <w:bCs/>
          <w:sz w:val="30"/>
          <w:szCs w:val="30"/>
          <w:lang w:eastAsia="zh-CN"/>
        </w:rPr>
        <w:drawing>
          <wp:inline distT="0" distB="0" distL="114300" distR="114300">
            <wp:extent cx="7791450" cy="5507990"/>
            <wp:effectExtent l="0" t="0" r="0" b="16510"/>
            <wp:docPr id="3" name="图片 3" descr="F:/工作/项目文件/20260819第三批公布稿/改图/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工作/项目文件/20260819第三批公布稿/改图/图片1.png图片1"/>
                    <pic:cNvPicPr>
                      <a:picLocks noChangeAspect="1"/>
                    </pic:cNvPicPr>
                  </pic:nvPicPr>
                  <pic:blipFill>
                    <a:blip r:embed="rId7"/>
                    <a:srcRect t="61" b="61"/>
                    <a:stretch>
                      <a:fillRect/>
                    </a:stretch>
                  </pic:blipFill>
                  <pic:spPr>
                    <a:xfrm>
                      <a:off x="0" y="0"/>
                      <a:ext cx="7791450" cy="5507990"/>
                    </a:xfrm>
                    <a:prstGeom prst="rect">
                      <a:avLst/>
                    </a:prstGeom>
                  </pic:spPr>
                </pic:pic>
              </a:graphicData>
            </a:graphic>
          </wp:inline>
        </w:drawing>
      </w:r>
      <w:r>
        <w:rPr>
          <w:rStyle w:val="6"/>
          <w:rFonts w:hint="eastAsia" w:eastAsia="等线"/>
          <w:lang w:eastAsia="zh-CN"/>
        </w:rPr>
        <w:drawing>
          <wp:inline distT="0" distB="0" distL="114300" distR="114300">
            <wp:extent cx="7790180" cy="5510530"/>
            <wp:effectExtent l="0" t="0" r="1270" b="13970"/>
            <wp:docPr id="8" name="图片 8" descr="F:/工作/项目文件/20260819第三批公布稿/改图/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工作/项目文件/20260819第三批公布稿/改图/图片2.png图片2"/>
                    <pic:cNvPicPr>
                      <a:picLocks noChangeAspect="1"/>
                    </pic:cNvPicPr>
                  </pic:nvPicPr>
                  <pic:blipFill>
                    <a:blip r:embed="rId8"/>
                    <a:srcRect l="6" r="6"/>
                    <a:stretch>
                      <a:fillRect/>
                    </a:stretch>
                  </pic:blipFill>
                  <pic:spPr>
                    <a:xfrm>
                      <a:off x="0" y="0"/>
                      <a:ext cx="7790180" cy="5510530"/>
                    </a:xfrm>
                    <a:prstGeom prst="rect">
                      <a:avLst/>
                    </a:prstGeom>
                  </pic:spPr>
                </pic:pic>
              </a:graphicData>
            </a:graphic>
          </wp:inline>
        </w:drawing>
      </w:r>
    </w:p>
    <w:p w14:paraId="3A52CDF2">
      <w:pPr>
        <w:widowControl w:val="0"/>
        <w:numPr>
          <w:ilvl w:val="0"/>
          <w:numId w:val="0"/>
        </w:numPr>
        <w:jc w:val="both"/>
        <w:rPr>
          <w:rStyle w:val="6"/>
          <w:rFonts w:hint="eastAsia" w:eastAsia="等线"/>
          <w:lang w:eastAsia="zh-CN"/>
        </w:rPr>
        <w:sectPr>
          <w:pgSz w:w="16838" w:h="11906" w:orient="landscape"/>
          <w:pgMar w:top="1800" w:right="1440" w:bottom="1800" w:left="1440" w:header="851" w:footer="992" w:gutter="0"/>
          <w:pgNumType w:fmt="decimal"/>
          <w:cols w:space="425" w:num="1"/>
          <w:docGrid w:type="lines" w:linePitch="312" w:charSpace="0"/>
        </w:sectPr>
      </w:pPr>
    </w:p>
    <w:p w14:paraId="17EB99E5">
      <w:pPr>
        <w:jc w:val="center"/>
        <w:rPr>
          <w:rFonts w:ascii="Times New Roman" w:hAnsi="Times New Roman" w:eastAsia="仿宋_GB2312"/>
          <w:b/>
          <w:bCs/>
          <w:sz w:val="32"/>
          <w:szCs w:val="30"/>
        </w:rPr>
      </w:pPr>
      <w:r>
        <w:rPr>
          <w:rFonts w:ascii="Times New Roman" w:hAnsi="Times New Roman" w:eastAsia="仿宋_GB2312"/>
          <w:b/>
          <w:bCs/>
          <w:sz w:val="32"/>
          <w:szCs w:val="30"/>
        </w:rPr>
        <w:t>巴宜区</w:t>
      </w:r>
      <w:r>
        <w:rPr>
          <w:rFonts w:hint="eastAsia" w:ascii="Times New Roman" w:hAnsi="Times New Roman" w:eastAsia="仿宋_GB2312"/>
          <w:b/>
          <w:bCs/>
          <w:sz w:val="32"/>
          <w:szCs w:val="30"/>
          <w:lang w:val="en-US" w:eastAsia="zh-CN"/>
        </w:rPr>
        <w:t>林芝</w:t>
      </w:r>
      <w:r>
        <w:rPr>
          <w:rFonts w:ascii="Times New Roman" w:hAnsi="Times New Roman" w:eastAsia="仿宋_GB2312"/>
          <w:b/>
          <w:bCs/>
          <w:sz w:val="32"/>
          <w:szCs w:val="30"/>
        </w:rPr>
        <w:t>镇</w:t>
      </w:r>
      <w:r>
        <w:rPr>
          <w:rFonts w:hint="eastAsia" w:ascii="Times New Roman" w:hAnsi="Times New Roman" w:eastAsia="仿宋_GB2312"/>
          <w:b/>
          <w:bCs/>
          <w:sz w:val="32"/>
          <w:szCs w:val="30"/>
          <w:lang w:val="en-US" w:eastAsia="zh-CN"/>
        </w:rPr>
        <w:t>曲古</w:t>
      </w:r>
      <w:r>
        <w:rPr>
          <w:rFonts w:ascii="Times New Roman" w:hAnsi="Times New Roman" w:eastAsia="仿宋_GB2312"/>
          <w:b/>
          <w:bCs/>
          <w:sz w:val="32"/>
          <w:szCs w:val="30"/>
        </w:rPr>
        <w:t>村“多规合一”实用性村庄规划</w:t>
      </w:r>
    </w:p>
    <w:p w14:paraId="1BFF9522">
      <w:pPr>
        <w:jc w:val="center"/>
        <w:rPr>
          <w:rFonts w:ascii="Times New Roman" w:hAnsi="Times New Roman" w:eastAsia="仿宋_GB2312"/>
          <w:b/>
          <w:bCs/>
          <w:sz w:val="32"/>
          <w:szCs w:val="30"/>
        </w:rPr>
      </w:pPr>
      <w:r>
        <w:rPr>
          <w:rFonts w:ascii="Times New Roman" w:hAnsi="Times New Roman" w:eastAsia="仿宋_GB2312"/>
          <w:b/>
          <w:bCs/>
          <w:sz w:val="32"/>
          <w:szCs w:val="30"/>
        </w:rPr>
        <w:t>（2024-2035年）</w:t>
      </w:r>
    </w:p>
    <w:p w14:paraId="103DCFB9">
      <w:pPr>
        <w:keepNext w:val="0"/>
        <w:keepLines w:val="0"/>
        <w:pageBreakBefore w:val="0"/>
        <w:widowControl w:val="0"/>
        <w:numPr>
          <w:ilvl w:val="0"/>
          <w:numId w:val="2"/>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规划范围</w:t>
      </w:r>
    </w:p>
    <w:p w14:paraId="1AE88EFD">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本次规划范围为</w:t>
      </w:r>
      <w:r>
        <w:rPr>
          <w:rFonts w:hint="eastAsia" w:ascii="Times New Roman" w:hAnsi="Times New Roman" w:eastAsia="仿宋_GB2312"/>
          <w:sz w:val="30"/>
          <w:szCs w:val="30"/>
          <w:lang w:eastAsia="zh-CN"/>
        </w:rPr>
        <w:t>林芝镇</w:t>
      </w:r>
      <w:r>
        <w:rPr>
          <w:rFonts w:hint="eastAsia" w:ascii="Times New Roman" w:hAnsi="Times New Roman" w:eastAsia="仿宋_GB2312"/>
          <w:sz w:val="30"/>
          <w:szCs w:val="30"/>
          <w:lang w:val="en-US" w:eastAsia="zh-CN"/>
        </w:rPr>
        <w:t>曲古村</w:t>
      </w:r>
      <w:r>
        <w:rPr>
          <w:rFonts w:hint="eastAsia" w:ascii="Times New Roman" w:hAnsi="Times New Roman" w:eastAsia="仿宋_GB2312"/>
          <w:sz w:val="30"/>
          <w:szCs w:val="30"/>
        </w:rPr>
        <w:t>村域全部国土空间，规划总面积1896.24公顷。</w:t>
      </w:r>
    </w:p>
    <w:p w14:paraId="40683B80">
      <w:pPr>
        <w:keepNext w:val="0"/>
        <w:keepLines w:val="0"/>
        <w:pageBreakBefore w:val="0"/>
        <w:widowControl w:val="0"/>
        <w:numPr>
          <w:ilvl w:val="0"/>
          <w:numId w:val="2"/>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规划期限</w:t>
      </w:r>
    </w:p>
    <w:p w14:paraId="63AF6816">
      <w:pPr>
        <w:ind w:firstLine="600" w:firstLineChars="200"/>
        <w:rPr>
          <w:rFonts w:ascii="Times New Roman" w:hAnsi="Times New Roman" w:eastAsia="仿宋_GB2312"/>
          <w:sz w:val="30"/>
          <w:szCs w:val="30"/>
        </w:rPr>
      </w:pPr>
      <w:r>
        <w:rPr>
          <w:rFonts w:hint="eastAsia" w:ascii="Times New Roman" w:hAnsi="Times New Roman" w:eastAsia="仿宋_GB2312"/>
          <w:sz w:val="30"/>
          <w:szCs w:val="30"/>
        </w:rPr>
        <w:t>本次规划期限为2024-2035年。规划基期年为2023年，目标年为2035年，近期至2030年。</w:t>
      </w:r>
    </w:p>
    <w:p w14:paraId="3079C792">
      <w:pPr>
        <w:keepNext w:val="0"/>
        <w:keepLines w:val="0"/>
        <w:pageBreakBefore w:val="0"/>
        <w:widowControl w:val="0"/>
        <w:numPr>
          <w:ilvl w:val="0"/>
          <w:numId w:val="2"/>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规划定位</w:t>
      </w:r>
    </w:p>
    <w:p w14:paraId="02CB5D13">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立足上位规划要求和村庄资源禀赋基础，推动藏猪、松茸、灵芝等高原林下资源产业扩面提质。综合确定</w:t>
      </w:r>
      <w:r>
        <w:rPr>
          <w:rFonts w:hint="eastAsia" w:ascii="Times New Roman" w:hAnsi="Times New Roman" w:eastAsia="仿宋_GB2312"/>
          <w:sz w:val="30"/>
          <w:szCs w:val="30"/>
          <w:lang w:eastAsia="zh-CN"/>
        </w:rPr>
        <w:t>曲古村</w:t>
      </w:r>
      <w:r>
        <w:rPr>
          <w:rFonts w:hint="eastAsia" w:ascii="Times New Roman" w:hAnsi="Times New Roman" w:eastAsia="仿宋_GB2312"/>
          <w:sz w:val="30"/>
          <w:szCs w:val="30"/>
        </w:rPr>
        <w:t>规划定位为：尼洋河岸农牧旅融合发展的宜居村庄。</w:t>
      </w:r>
    </w:p>
    <w:p w14:paraId="7B4F3049">
      <w:pPr>
        <w:keepNext w:val="0"/>
        <w:keepLines w:val="0"/>
        <w:pageBreakBefore w:val="0"/>
        <w:widowControl w:val="0"/>
        <w:numPr>
          <w:ilvl w:val="0"/>
          <w:numId w:val="2"/>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底线约束</w:t>
      </w:r>
    </w:p>
    <w:p w14:paraId="17684AB8">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耕地保护目标。根据巴宜区“三区三线”划定成果，</w:t>
      </w:r>
      <w:r>
        <w:rPr>
          <w:rFonts w:hint="eastAsia" w:ascii="Times New Roman" w:hAnsi="Times New Roman" w:eastAsia="仿宋_GB2312"/>
          <w:sz w:val="30"/>
          <w:szCs w:val="30"/>
          <w:lang w:eastAsia="zh-CN"/>
        </w:rPr>
        <w:t>曲古村</w:t>
      </w:r>
      <w:r>
        <w:rPr>
          <w:rFonts w:hint="eastAsia" w:ascii="Times New Roman" w:hAnsi="Times New Roman" w:eastAsia="仿宋_GB2312"/>
          <w:sz w:val="30"/>
          <w:szCs w:val="30"/>
        </w:rPr>
        <w:t>落实耕地保护目标</w:t>
      </w:r>
      <w:r>
        <w:rPr>
          <w:rFonts w:hint="eastAsia" w:ascii="Times New Roman" w:hAnsi="Times New Roman" w:eastAsia="仿宋_GB2312"/>
          <w:sz w:val="30"/>
          <w:szCs w:val="30"/>
          <w:lang w:val="en-US" w:eastAsia="zh-CN"/>
        </w:rPr>
        <w:t>69.27</w:t>
      </w:r>
      <w:r>
        <w:rPr>
          <w:rFonts w:hint="eastAsia" w:ascii="Times New Roman" w:hAnsi="Times New Roman" w:eastAsia="仿宋_GB2312"/>
          <w:sz w:val="30"/>
          <w:szCs w:val="30"/>
        </w:rPr>
        <w:t>公顷（</w:t>
      </w:r>
      <w:r>
        <w:rPr>
          <w:rFonts w:hint="eastAsia" w:ascii="Times New Roman" w:hAnsi="Times New Roman" w:eastAsia="仿宋_GB2312"/>
          <w:sz w:val="30"/>
          <w:szCs w:val="30"/>
          <w:lang w:val="en-US" w:eastAsia="zh-CN"/>
        </w:rPr>
        <w:t>1039.05</w:t>
      </w:r>
      <w:r>
        <w:rPr>
          <w:rFonts w:hint="eastAsia" w:ascii="Times New Roman" w:hAnsi="Times New Roman" w:eastAsia="仿宋_GB2312"/>
          <w:sz w:val="30"/>
          <w:szCs w:val="30"/>
        </w:rPr>
        <w:t>亩）。</w:t>
      </w:r>
    </w:p>
    <w:p w14:paraId="78C7DB33">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永久基本农田。根据自然资源部下发巴宜区永久基本农田核实处置成果，</w:t>
      </w:r>
      <w:r>
        <w:rPr>
          <w:rFonts w:hint="eastAsia" w:ascii="Times New Roman" w:hAnsi="Times New Roman" w:eastAsia="仿宋_GB2312"/>
          <w:sz w:val="30"/>
          <w:szCs w:val="30"/>
          <w:lang w:eastAsia="zh-CN"/>
        </w:rPr>
        <w:t>曲古村</w:t>
      </w:r>
      <w:r>
        <w:rPr>
          <w:rFonts w:hint="eastAsia" w:ascii="Times New Roman" w:hAnsi="Times New Roman" w:eastAsia="仿宋_GB2312"/>
          <w:sz w:val="30"/>
          <w:szCs w:val="30"/>
        </w:rPr>
        <w:t>落实永久基本农田保护任务28.51公顷（427.65亩）。</w:t>
      </w:r>
    </w:p>
    <w:p w14:paraId="6C539F6C">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生态保护红线。根据巴宜区“三区三线”划定成果，</w:t>
      </w:r>
      <w:r>
        <w:rPr>
          <w:rFonts w:hint="eastAsia" w:ascii="Times New Roman" w:hAnsi="Times New Roman" w:eastAsia="仿宋_GB2312"/>
          <w:sz w:val="30"/>
          <w:szCs w:val="30"/>
          <w:lang w:eastAsia="zh-CN"/>
        </w:rPr>
        <w:t>曲古村</w:t>
      </w:r>
      <w:r>
        <w:rPr>
          <w:rFonts w:hint="eastAsia" w:ascii="Times New Roman" w:hAnsi="Times New Roman" w:eastAsia="仿宋_GB2312"/>
          <w:sz w:val="30"/>
          <w:szCs w:val="30"/>
        </w:rPr>
        <w:t>落实生态保护红线1482.42公顷。</w:t>
      </w:r>
    </w:p>
    <w:p w14:paraId="4CD81F80">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村庄建设边界。</w:t>
      </w:r>
      <w:r>
        <w:rPr>
          <w:rFonts w:hint="eastAsia" w:ascii="Times New Roman" w:hAnsi="Times New Roman" w:eastAsia="仿宋_GB2312"/>
          <w:sz w:val="30"/>
          <w:szCs w:val="30"/>
          <w:lang w:eastAsia="zh-CN"/>
        </w:rPr>
        <w:t>曲古村</w:t>
      </w:r>
      <w:r>
        <w:rPr>
          <w:rFonts w:hint="eastAsia" w:ascii="Times New Roman" w:hAnsi="Times New Roman" w:eastAsia="仿宋_GB2312"/>
          <w:sz w:val="30"/>
          <w:szCs w:val="30"/>
        </w:rPr>
        <w:t>共划定村庄建设边界</w:t>
      </w:r>
      <w:r>
        <w:rPr>
          <w:rFonts w:hint="eastAsia" w:ascii="Times New Roman" w:hAnsi="Times New Roman" w:eastAsia="仿宋_GB2312"/>
          <w:sz w:val="30"/>
          <w:szCs w:val="30"/>
          <w:lang w:val="en-US" w:eastAsia="zh-CN"/>
        </w:rPr>
        <w:t>10.74</w:t>
      </w:r>
      <w:r>
        <w:rPr>
          <w:rFonts w:hint="eastAsia" w:ascii="Times New Roman" w:hAnsi="Times New Roman" w:eastAsia="仿宋_GB2312"/>
          <w:sz w:val="30"/>
          <w:szCs w:val="30"/>
        </w:rPr>
        <w:t>公顷。</w:t>
      </w:r>
    </w:p>
    <w:p w14:paraId="558C7644">
      <w:pPr>
        <w:ind w:firstLine="600" w:firstLineChars="200"/>
        <w:rPr>
          <w:rFonts w:ascii="Times New Roman" w:hAnsi="Times New Roman" w:eastAsia="仿宋_GB2312"/>
          <w:sz w:val="30"/>
          <w:szCs w:val="30"/>
        </w:rPr>
      </w:pPr>
    </w:p>
    <w:p w14:paraId="205A866B">
      <w:pPr>
        <w:keepNext w:val="0"/>
        <w:keepLines w:val="0"/>
        <w:pageBreakBefore w:val="0"/>
        <w:widowControl w:val="0"/>
        <w:numPr>
          <w:ilvl w:val="0"/>
          <w:numId w:val="2"/>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国土空间用地结构优化</w:t>
      </w:r>
    </w:p>
    <w:p w14:paraId="4ED3F6B4">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农用地优化。结合农业发展要求，统筹安排耕地、园地、林地等各类农用地，适当调整农用地结构。至规划期末，农用地面积1456.</w:t>
      </w:r>
      <w:r>
        <w:rPr>
          <w:rFonts w:hint="eastAsia" w:ascii="Times New Roman" w:hAnsi="Times New Roman" w:eastAsia="仿宋_GB2312"/>
          <w:sz w:val="30"/>
          <w:szCs w:val="30"/>
          <w:lang w:val="en-US" w:eastAsia="zh-CN"/>
        </w:rPr>
        <w:t>87</w:t>
      </w:r>
      <w:r>
        <w:rPr>
          <w:rFonts w:hint="eastAsia" w:ascii="Times New Roman" w:hAnsi="Times New Roman" w:eastAsia="仿宋_GB2312"/>
          <w:sz w:val="30"/>
          <w:szCs w:val="30"/>
        </w:rPr>
        <w:t>公顷。</w:t>
      </w:r>
    </w:p>
    <w:p w14:paraId="59626787">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建设用地优化。按照“底线约束、节约集约、盘活存量、严控增量”要求，依法保障农村住房建设需求，统筹考虑生活服务配套设施完善和产业发展用地需求。至规划期末，建设用地面积31.</w:t>
      </w:r>
      <w:r>
        <w:rPr>
          <w:rFonts w:hint="eastAsia" w:ascii="Times New Roman" w:hAnsi="Times New Roman" w:eastAsia="仿宋_GB2312"/>
          <w:sz w:val="30"/>
          <w:szCs w:val="30"/>
          <w:lang w:val="en-US" w:eastAsia="zh-CN"/>
        </w:rPr>
        <w:t>23</w:t>
      </w:r>
      <w:r>
        <w:rPr>
          <w:rFonts w:hint="eastAsia" w:ascii="Times New Roman" w:hAnsi="Times New Roman" w:eastAsia="仿宋_GB2312"/>
          <w:sz w:val="30"/>
          <w:szCs w:val="30"/>
        </w:rPr>
        <w:t>公顷。</w:t>
      </w:r>
    </w:p>
    <w:p w14:paraId="4BC29CC1">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未利用地优化。至规划期末，未利用地面积408.14公顷。</w:t>
      </w:r>
    </w:p>
    <w:p w14:paraId="474C3097">
      <w:pPr>
        <w:keepNext w:val="0"/>
        <w:keepLines w:val="0"/>
        <w:pageBreakBefore w:val="0"/>
        <w:widowControl w:val="0"/>
        <w:numPr>
          <w:ilvl w:val="0"/>
          <w:numId w:val="2"/>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rPr>
      </w:pPr>
      <w:r>
        <w:rPr>
          <w:rFonts w:ascii="Times New Roman" w:hAnsi="Times New Roman" w:eastAsia="仿宋_GB2312"/>
          <w:b/>
          <w:bCs/>
          <w:sz w:val="30"/>
          <w:szCs w:val="30"/>
        </w:rPr>
        <w:t>规划主要图纸</w:t>
      </w:r>
    </w:p>
    <w:p w14:paraId="38EF5959">
      <w:pPr>
        <w:widowControl w:val="0"/>
        <w:numPr>
          <w:ilvl w:val="0"/>
          <w:numId w:val="0"/>
        </w:numPr>
        <w:jc w:val="both"/>
        <w:rPr>
          <w:rStyle w:val="6"/>
        </w:rPr>
      </w:pPr>
    </w:p>
    <w:p w14:paraId="4A6728A7">
      <w:pPr>
        <w:widowControl w:val="0"/>
        <w:numPr>
          <w:ilvl w:val="0"/>
          <w:numId w:val="0"/>
        </w:numPr>
        <w:jc w:val="both"/>
        <w:rPr>
          <w:rStyle w:val="6"/>
        </w:rPr>
      </w:pPr>
    </w:p>
    <w:p w14:paraId="49C2E13C">
      <w:pPr>
        <w:widowControl w:val="0"/>
        <w:numPr>
          <w:ilvl w:val="0"/>
          <w:numId w:val="0"/>
        </w:numPr>
        <w:jc w:val="both"/>
        <w:rPr>
          <w:rStyle w:val="6"/>
        </w:rPr>
      </w:pPr>
    </w:p>
    <w:p w14:paraId="69468786">
      <w:pPr>
        <w:widowControl w:val="0"/>
        <w:numPr>
          <w:ilvl w:val="0"/>
          <w:numId w:val="0"/>
        </w:numPr>
        <w:jc w:val="both"/>
        <w:rPr>
          <w:rStyle w:val="6"/>
        </w:rPr>
      </w:pPr>
    </w:p>
    <w:p w14:paraId="0D67BDB9">
      <w:pPr>
        <w:widowControl w:val="0"/>
        <w:numPr>
          <w:ilvl w:val="0"/>
          <w:numId w:val="0"/>
        </w:numPr>
        <w:jc w:val="both"/>
        <w:rPr>
          <w:rStyle w:val="6"/>
        </w:rPr>
      </w:pPr>
    </w:p>
    <w:p w14:paraId="441160A3">
      <w:pPr>
        <w:widowControl w:val="0"/>
        <w:numPr>
          <w:ilvl w:val="0"/>
          <w:numId w:val="0"/>
        </w:numPr>
        <w:jc w:val="both"/>
        <w:rPr>
          <w:rStyle w:val="6"/>
        </w:rPr>
      </w:pPr>
    </w:p>
    <w:p w14:paraId="2A104398">
      <w:pPr>
        <w:widowControl w:val="0"/>
        <w:numPr>
          <w:ilvl w:val="0"/>
          <w:numId w:val="0"/>
        </w:numPr>
        <w:jc w:val="both"/>
        <w:rPr>
          <w:rStyle w:val="6"/>
        </w:rPr>
      </w:pPr>
    </w:p>
    <w:p w14:paraId="46941D02">
      <w:pPr>
        <w:widowControl w:val="0"/>
        <w:numPr>
          <w:ilvl w:val="0"/>
          <w:numId w:val="0"/>
        </w:numPr>
        <w:jc w:val="both"/>
        <w:rPr>
          <w:rStyle w:val="6"/>
        </w:rPr>
      </w:pPr>
    </w:p>
    <w:p w14:paraId="3B27E8B5">
      <w:pPr>
        <w:widowControl w:val="0"/>
        <w:numPr>
          <w:ilvl w:val="0"/>
          <w:numId w:val="0"/>
        </w:numPr>
        <w:jc w:val="both"/>
        <w:rPr>
          <w:rStyle w:val="6"/>
        </w:rPr>
      </w:pPr>
    </w:p>
    <w:p w14:paraId="4435B732">
      <w:pPr>
        <w:widowControl w:val="0"/>
        <w:numPr>
          <w:ilvl w:val="0"/>
          <w:numId w:val="0"/>
        </w:numPr>
        <w:jc w:val="both"/>
        <w:rPr>
          <w:rStyle w:val="6"/>
        </w:rPr>
      </w:pPr>
    </w:p>
    <w:p w14:paraId="521F2C55">
      <w:pPr>
        <w:widowControl w:val="0"/>
        <w:numPr>
          <w:ilvl w:val="0"/>
          <w:numId w:val="0"/>
        </w:numPr>
        <w:jc w:val="both"/>
        <w:rPr>
          <w:rStyle w:val="6"/>
        </w:rPr>
      </w:pPr>
    </w:p>
    <w:p w14:paraId="6B07E151">
      <w:pPr>
        <w:widowControl w:val="0"/>
        <w:numPr>
          <w:ilvl w:val="0"/>
          <w:numId w:val="0"/>
        </w:numPr>
        <w:jc w:val="both"/>
        <w:rPr>
          <w:rStyle w:val="6"/>
        </w:rPr>
      </w:pPr>
    </w:p>
    <w:p w14:paraId="5B099DA3">
      <w:pPr>
        <w:widowControl w:val="0"/>
        <w:numPr>
          <w:ilvl w:val="0"/>
          <w:numId w:val="0"/>
        </w:numPr>
        <w:jc w:val="both"/>
        <w:rPr>
          <w:rStyle w:val="6"/>
        </w:rPr>
      </w:pPr>
    </w:p>
    <w:p w14:paraId="6EED9E1D">
      <w:pPr>
        <w:widowControl w:val="0"/>
        <w:numPr>
          <w:ilvl w:val="0"/>
          <w:numId w:val="0"/>
        </w:numPr>
        <w:jc w:val="both"/>
        <w:rPr>
          <w:rStyle w:val="6"/>
        </w:rPr>
      </w:pPr>
    </w:p>
    <w:p w14:paraId="5DC14C0A">
      <w:pPr>
        <w:widowControl w:val="0"/>
        <w:numPr>
          <w:ilvl w:val="0"/>
          <w:numId w:val="0"/>
        </w:numPr>
        <w:jc w:val="both"/>
        <w:rPr>
          <w:rStyle w:val="6"/>
        </w:rPr>
      </w:pPr>
    </w:p>
    <w:p w14:paraId="64BE8EFF">
      <w:pPr>
        <w:widowControl w:val="0"/>
        <w:numPr>
          <w:ilvl w:val="0"/>
          <w:numId w:val="0"/>
        </w:numPr>
        <w:jc w:val="both"/>
        <w:rPr>
          <w:rStyle w:val="6"/>
        </w:rPr>
      </w:pPr>
    </w:p>
    <w:p w14:paraId="2F1A264A">
      <w:pPr>
        <w:widowControl w:val="0"/>
        <w:numPr>
          <w:ilvl w:val="0"/>
          <w:numId w:val="0"/>
        </w:numPr>
        <w:jc w:val="both"/>
        <w:rPr>
          <w:rStyle w:val="6"/>
        </w:rPr>
      </w:pPr>
    </w:p>
    <w:p w14:paraId="687F7CD9">
      <w:pPr>
        <w:widowControl w:val="0"/>
        <w:numPr>
          <w:ilvl w:val="0"/>
          <w:numId w:val="0"/>
        </w:numPr>
        <w:jc w:val="both"/>
        <w:rPr>
          <w:rStyle w:val="6"/>
        </w:rPr>
      </w:pPr>
    </w:p>
    <w:p w14:paraId="7D412C12">
      <w:pPr>
        <w:widowControl w:val="0"/>
        <w:numPr>
          <w:ilvl w:val="0"/>
          <w:numId w:val="0"/>
        </w:numPr>
        <w:jc w:val="both"/>
        <w:rPr>
          <w:rStyle w:val="6"/>
        </w:rPr>
      </w:pPr>
    </w:p>
    <w:p w14:paraId="1EC52BB5">
      <w:pPr>
        <w:rPr>
          <w:rStyle w:val="6"/>
        </w:rPr>
        <w:sectPr>
          <w:footerReference r:id="rId4" w:type="default"/>
          <w:pgSz w:w="11906" w:h="16838"/>
          <w:pgMar w:top="1440" w:right="1800" w:bottom="1440" w:left="1800" w:header="851" w:footer="992" w:gutter="0"/>
          <w:pgNumType w:fmt="decimal" w:start="1"/>
          <w:cols w:space="425" w:num="1"/>
          <w:docGrid w:type="lines" w:linePitch="312" w:charSpace="0"/>
        </w:sectPr>
      </w:pPr>
      <w:r>
        <w:rPr>
          <w:rStyle w:val="6"/>
        </w:rPr>
        <w:br w:type="page"/>
      </w:r>
    </w:p>
    <w:p w14:paraId="329A5F0A">
      <w:pPr>
        <w:jc w:val="center"/>
        <w:rPr>
          <w:rFonts w:hint="eastAsia" w:ascii="Times New Roman" w:hAnsi="Times New Roman" w:eastAsia="仿宋_GB2312"/>
          <w:b/>
          <w:bCs/>
          <w:sz w:val="30"/>
          <w:szCs w:val="30"/>
          <w:lang w:eastAsia="zh-CN"/>
        </w:rPr>
        <w:sectPr>
          <w:pgSz w:w="16838" w:h="11906" w:orient="landscape"/>
          <w:pgMar w:top="1800" w:right="1440" w:bottom="1800" w:left="1440" w:header="851" w:footer="992" w:gutter="0"/>
          <w:pgNumType w:fmt="decimal"/>
          <w:cols w:space="425" w:num="1"/>
          <w:docGrid w:type="lines" w:linePitch="312" w:charSpace="0"/>
        </w:sectPr>
      </w:pPr>
      <w:r>
        <w:rPr>
          <w:rFonts w:hint="eastAsia" w:ascii="Times New Roman" w:hAnsi="Times New Roman" w:eastAsia="仿宋_GB2312"/>
          <w:b/>
          <w:bCs/>
          <w:sz w:val="30"/>
          <w:szCs w:val="30"/>
          <w:lang w:eastAsia="zh-CN"/>
        </w:rPr>
        <w:drawing>
          <wp:inline distT="0" distB="0" distL="114300" distR="114300">
            <wp:extent cx="7791450" cy="5507990"/>
            <wp:effectExtent l="0" t="0" r="0" b="16510"/>
            <wp:docPr id="13" name="图片 13" descr="F:/工作/项目文件/20260819第三批公布稿/改图/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工作/项目文件/20260819第三批公布稿/改图/图片3.png图片3"/>
                    <pic:cNvPicPr>
                      <a:picLocks noChangeAspect="1"/>
                    </pic:cNvPicPr>
                  </pic:nvPicPr>
                  <pic:blipFill>
                    <a:blip r:embed="rId9"/>
                    <a:srcRect t="61" b="61"/>
                    <a:stretch>
                      <a:fillRect/>
                    </a:stretch>
                  </pic:blipFill>
                  <pic:spPr>
                    <a:xfrm>
                      <a:off x="0" y="0"/>
                      <a:ext cx="7791450" cy="5507990"/>
                    </a:xfrm>
                    <a:prstGeom prst="rect">
                      <a:avLst/>
                    </a:prstGeom>
                  </pic:spPr>
                </pic:pic>
              </a:graphicData>
            </a:graphic>
          </wp:inline>
        </w:drawing>
      </w:r>
      <w:r>
        <w:rPr>
          <w:rFonts w:hint="eastAsia" w:ascii="Times New Roman" w:hAnsi="Times New Roman" w:eastAsia="仿宋_GB2312"/>
          <w:b/>
          <w:bCs/>
          <w:sz w:val="30"/>
          <w:szCs w:val="30"/>
          <w:lang w:eastAsia="zh-CN"/>
        </w:rPr>
        <w:drawing>
          <wp:inline distT="0" distB="0" distL="114300" distR="114300">
            <wp:extent cx="7791450" cy="5507990"/>
            <wp:effectExtent l="0" t="0" r="0" b="16510"/>
            <wp:docPr id="14" name="图片 14" descr="F:/工作/项目文件/20260819第三批公布稿/改图/图片4.png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工作/项目文件/20260819第三批公布稿/改图/图片4.png图片4"/>
                    <pic:cNvPicPr>
                      <a:picLocks noChangeAspect="1"/>
                    </pic:cNvPicPr>
                  </pic:nvPicPr>
                  <pic:blipFill>
                    <a:blip r:embed="rId10"/>
                    <a:srcRect t="61" b="61"/>
                    <a:stretch>
                      <a:fillRect/>
                    </a:stretch>
                  </pic:blipFill>
                  <pic:spPr>
                    <a:xfrm>
                      <a:off x="0" y="0"/>
                      <a:ext cx="7791450" cy="5507990"/>
                    </a:xfrm>
                    <a:prstGeom prst="rect">
                      <a:avLst/>
                    </a:prstGeom>
                  </pic:spPr>
                </pic:pic>
              </a:graphicData>
            </a:graphic>
          </wp:inline>
        </w:drawing>
      </w:r>
    </w:p>
    <w:p w14:paraId="1437C03F">
      <w:pPr>
        <w:jc w:val="center"/>
        <w:rPr>
          <w:rFonts w:ascii="Times New Roman" w:hAnsi="Times New Roman" w:eastAsia="仿宋_GB2312"/>
          <w:b/>
          <w:bCs/>
          <w:sz w:val="32"/>
          <w:szCs w:val="30"/>
          <w:highlight w:val="none"/>
        </w:rPr>
      </w:pPr>
      <w:r>
        <w:rPr>
          <w:rFonts w:ascii="Times New Roman" w:hAnsi="Times New Roman" w:eastAsia="仿宋_GB2312"/>
          <w:b/>
          <w:bCs/>
          <w:sz w:val="32"/>
          <w:szCs w:val="30"/>
          <w:highlight w:val="none"/>
        </w:rPr>
        <w:t>巴宜区</w:t>
      </w:r>
      <w:r>
        <w:rPr>
          <w:rFonts w:hint="eastAsia" w:ascii="Times New Roman" w:hAnsi="Times New Roman" w:eastAsia="仿宋_GB2312"/>
          <w:b/>
          <w:bCs/>
          <w:sz w:val="32"/>
          <w:szCs w:val="30"/>
          <w:highlight w:val="none"/>
          <w:lang w:val="en-US" w:eastAsia="zh-CN"/>
        </w:rPr>
        <w:t>林芝镇康扎</w:t>
      </w:r>
      <w:r>
        <w:rPr>
          <w:rFonts w:ascii="Times New Roman" w:hAnsi="Times New Roman" w:eastAsia="仿宋_GB2312"/>
          <w:b/>
          <w:bCs/>
          <w:sz w:val="32"/>
          <w:szCs w:val="30"/>
          <w:highlight w:val="none"/>
        </w:rPr>
        <w:t>村“多规合一”实用性村庄规划</w:t>
      </w:r>
    </w:p>
    <w:p w14:paraId="58345BDC">
      <w:pPr>
        <w:jc w:val="center"/>
        <w:rPr>
          <w:rFonts w:ascii="Times New Roman" w:hAnsi="Times New Roman" w:eastAsia="仿宋_GB2312"/>
          <w:b/>
          <w:bCs/>
          <w:sz w:val="32"/>
          <w:szCs w:val="30"/>
          <w:highlight w:val="none"/>
        </w:rPr>
      </w:pPr>
      <w:r>
        <w:rPr>
          <w:rFonts w:ascii="Times New Roman" w:hAnsi="Times New Roman" w:eastAsia="仿宋_GB2312"/>
          <w:b/>
          <w:bCs/>
          <w:sz w:val="32"/>
          <w:szCs w:val="30"/>
          <w:highlight w:val="none"/>
        </w:rPr>
        <w:t>（2024-2035年）</w:t>
      </w:r>
    </w:p>
    <w:p w14:paraId="3AD758BD">
      <w:pPr>
        <w:keepNext w:val="0"/>
        <w:keepLines w:val="0"/>
        <w:pageBreakBefore w:val="0"/>
        <w:widowControl w:val="0"/>
        <w:numPr>
          <w:ilvl w:val="0"/>
          <w:numId w:val="3"/>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highlight w:val="none"/>
        </w:rPr>
      </w:pPr>
      <w:r>
        <w:rPr>
          <w:rFonts w:ascii="Times New Roman" w:hAnsi="Times New Roman" w:eastAsia="仿宋_GB2312"/>
          <w:b/>
          <w:bCs/>
          <w:sz w:val="30"/>
          <w:szCs w:val="30"/>
          <w:highlight w:val="none"/>
        </w:rPr>
        <w:t>规划范围</w:t>
      </w:r>
    </w:p>
    <w:p w14:paraId="71671A24">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本次规划范围为林芝镇康扎村村域全部国土空间</w:t>
      </w:r>
      <w:bookmarkStart w:id="5" w:name="_GoBack"/>
      <w:bookmarkEnd w:id="5"/>
      <w:r>
        <w:rPr>
          <w:rFonts w:hint="eastAsia" w:ascii="Times New Roman" w:hAnsi="Times New Roman" w:eastAsia="仿宋_GB2312"/>
          <w:sz w:val="30"/>
          <w:szCs w:val="30"/>
        </w:rPr>
        <w:t>，总规划面积18000.22公顷。</w:t>
      </w:r>
    </w:p>
    <w:p w14:paraId="7894BC80">
      <w:pPr>
        <w:keepNext w:val="0"/>
        <w:keepLines w:val="0"/>
        <w:pageBreakBefore w:val="0"/>
        <w:widowControl w:val="0"/>
        <w:numPr>
          <w:ilvl w:val="0"/>
          <w:numId w:val="3"/>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highlight w:val="none"/>
        </w:rPr>
      </w:pPr>
      <w:r>
        <w:rPr>
          <w:rFonts w:ascii="Times New Roman" w:hAnsi="Times New Roman" w:eastAsia="仿宋_GB2312"/>
          <w:b/>
          <w:bCs/>
          <w:sz w:val="30"/>
          <w:szCs w:val="30"/>
          <w:highlight w:val="none"/>
        </w:rPr>
        <w:t>规划期限</w:t>
      </w:r>
    </w:p>
    <w:p w14:paraId="2DFFB5E2">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本次规划期限为2024-2035年。规划基期年为2023年，目标年为2035年，近期至2030年。</w:t>
      </w:r>
    </w:p>
    <w:p w14:paraId="24E1932F">
      <w:pPr>
        <w:keepNext w:val="0"/>
        <w:keepLines w:val="0"/>
        <w:pageBreakBefore w:val="0"/>
        <w:widowControl w:val="0"/>
        <w:numPr>
          <w:ilvl w:val="0"/>
          <w:numId w:val="3"/>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highlight w:val="none"/>
        </w:rPr>
      </w:pPr>
      <w:r>
        <w:rPr>
          <w:rFonts w:ascii="Times New Roman" w:hAnsi="Times New Roman" w:eastAsia="仿宋_GB2312"/>
          <w:b/>
          <w:bCs/>
          <w:sz w:val="30"/>
          <w:szCs w:val="30"/>
          <w:highlight w:val="none"/>
        </w:rPr>
        <w:t>规划定位</w:t>
      </w:r>
    </w:p>
    <w:p w14:paraId="436ED1BC">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落实上位规划和文件的相关要求，立足康扎村农牧产业基础，依托村庄位于色季拉山和苯日山景区脚下优美的自然风光及坐拥情侣故事等丰富的文化资源。以千年夫妻古松为爱情图腾，将康扎村建设成集农业生产、生态观光、文化体验为一体的融合发展示范村。因此综合确定康扎村规划定位为：</w:t>
      </w:r>
      <w:bookmarkStart w:id="4" w:name="_Hlk200374504"/>
      <w:r>
        <w:rPr>
          <w:rFonts w:hint="eastAsia" w:ascii="Times New Roman" w:hAnsi="Times New Roman" w:eastAsia="仿宋_GB2312"/>
          <w:sz w:val="30"/>
          <w:szCs w:val="30"/>
        </w:rPr>
        <w:t>色季拉山垭口脚下的宜居宜业、产业融合发展示范村</w:t>
      </w:r>
      <w:bookmarkEnd w:id="4"/>
      <w:r>
        <w:rPr>
          <w:rFonts w:hint="eastAsia" w:ascii="Times New Roman" w:hAnsi="Times New Roman" w:eastAsia="仿宋_GB2312"/>
          <w:sz w:val="30"/>
          <w:szCs w:val="30"/>
        </w:rPr>
        <w:t>。</w:t>
      </w:r>
    </w:p>
    <w:p w14:paraId="6FCBF9D1">
      <w:pPr>
        <w:keepNext w:val="0"/>
        <w:keepLines w:val="0"/>
        <w:pageBreakBefore w:val="0"/>
        <w:widowControl w:val="0"/>
        <w:numPr>
          <w:ilvl w:val="0"/>
          <w:numId w:val="3"/>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highlight w:val="none"/>
        </w:rPr>
      </w:pPr>
      <w:r>
        <w:rPr>
          <w:rFonts w:ascii="Times New Roman" w:hAnsi="Times New Roman" w:eastAsia="仿宋_GB2312"/>
          <w:b/>
          <w:bCs/>
          <w:sz w:val="30"/>
          <w:szCs w:val="30"/>
          <w:highlight w:val="none"/>
        </w:rPr>
        <w:t>底线约束</w:t>
      </w:r>
    </w:p>
    <w:p w14:paraId="686A593E">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耕地保护目标。根据巴宜区“三区三线”划定成果，至2035年，落实康扎村耕地保护目标为13</w:t>
      </w:r>
      <w:r>
        <w:rPr>
          <w:rFonts w:hint="eastAsia" w:ascii="Times New Roman" w:hAnsi="Times New Roman" w:eastAsia="仿宋_GB2312"/>
          <w:sz w:val="30"/>
          <w:szCs w:val="30"/>
          <w:lang w:val="en-US" w:eastAsia="zh-CN"/>
        </w:rPr>
        <w:t>0</w:t>
      </w: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12</w:t>
      </w:r>
      <w:r>
        <w:rPr>
          <w:rFonts w:hint="eastAsia" w:ascii="Times New Roman" w:hAnsi="Times New Roman" w:eastAsia="仿宋_GB2312"/>
          <w:sz w:val="30"/>
          <w:szCs w:val="30"/>
        </w:rPr>
        <w:t>公顷（</w:t>
      </w:r>
      <w:r>
        <w:rPr>
          <w:rFonts w:hint="eastAsia" w:ascii="Times New Roman" w:hAnsi="Times New Roman" w:eastAsia="仿宋_GB2312"/>
          <w:sz w:val="30"/>
          <w:szCs w:val="30"/>
          <w:lang w:val="en-US" w:eastAsia="zh-CN"/>
        </w:rPr>
        <w:t>1951.80</w:t>
      </w:r>
      <w:r>
        <w:rPr>
          <w:rFonts w:hint="eastAsia" w:ascii="Times New Roman" w:hAnsi="Times New Roman" w:eastAsia="仿宋_GB2312"/>
          <w:sz w:val="30"/>
          <w:szCs w:val="30"/>
        </w:rPr>
        <w:t>亩）。</w:t>
      </w:r>
    </w:p>
    <w:p w14:paraId="37F2DEB2">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永久基本农田。根据自然资源部下发巴宜区永久基本农田核实处置成果，康扎村落实永久基本农田保护任务129.17公顷（1937.55亩）。</w:t>
      </w:r>
    </w:p>
    <w:p w14:paraId="1205FF3B">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生态保护红线。根据巴宜区“三区三线”划定成果，康扎村落实生态保护红线16094.83公顷。</w:t>
      </w:r>
    </w:p>
    <w:p w14:paraId="78BDD94F">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村庄建设边界。康扎村划定村庄建设边界28.78公顷</w:t>
      </w:r>
    </w:p>
    <w:p w14:paraId="422DEB56">
      <w:pPr>
        <w:keepNext w:val="0"/>
        <w:keepLines w:val="0"/>
        <w:pageBreakBefore w:val="0"/>
        <w:widowControl w:val="0"/>
        <w:numPr>
          <w:ilvl w:val="0"/>
          <w:numId w:val="3"/>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highlight w:val="none"/>
        </w:rPr>
      </w:pPr>
      <w:r>
        <w:rPr>
          <w:rFonts w:ascii="Times New Roman" w:hAnsi="Times New Roman" w:eastAsia="仿宋_GB2312"/>
          <w:b/>
          <w:bCs/>
          <w:sz w:val="30"/>
          <w:szCs w:val="30"/>
          <w:highlight w:val="none"/>
        </w:rPr>
        <w:t>国土空间用地结构优化</w:t>
      </w:r>
    </w:p>
    <w:p w14:paraId="6C1EC312">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农用地优化。结合农业发展要求，统筹安排耕地、园地、林地等各类农用地，适当调整农用地结构。至规划期末，农用地面积12982.24公顷。</w:t>
      </w:r>
    </w:p>
    <w:p w14:paraId="04B899E6">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建设用地优化。按照“底线约束、节约集约、盘活存量、严控增量”要求，依法保障农村住房建设需求，统筹考虑生活服务配套设施完善和产业发展用地需求。至规划期末，建设用地面积66.04公顷。</w:t>
      </w:r>
    </w:p>
    <w:p w14:paraId="1F46C6C4">
      <w:pPr>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未利用地优化。至规划期末，未利用地面积4951.93公顷。</w:t>
      </w:r>
    </w:p>
    <w:p w14:paraId="4E86BF51">
      <w:pPr>
        <w:keepNext w:val="0"/>
        <w:keepLines w:val="0"/>
        <w:pageBreakBefore w:val="0"/>
        <w:widowControl w:val="0"/>
        <w:numPr>
          <w:ilvl w:val="0"/>
          <w:numId w:val="3"/>
        </w:numPr>
        <w:kinsoku/>
        <w:wordWrap/>
        <w:overflowPunct/>
        <w:topLinePunct w:val="0"/>
        <w:autoSpaceDE/>
        <w:autoSpaceDN/>
        <w:bidi w:val="0"/>
        <w:adjustRightInd/>
        <w:snapToGrid/>
        <w:ind w:firstLine="602" w:firstLineChars="200"/>
        <w:textAlignment w:val="auto"/>
        <w:rPr>
          <w:rFonts w:ascii="Times New Roman" w:hAnsi="Times New Roman" w:eastAsia="仿宋_GB2312"/>
          <w:b/>
          <w:bCs/>
          <w:sz w:val="30"/>
          <w:szCs w:val="30"/>
          <w:highlight w:val="none"/>
        </w:rPr>
      </w:pPr>
      <w:r>
        <w:rPr>
          <w:rFonts w:ascii="Times New Roman" w:hAnsi="Times New Roman" w:eastAsia="仿宋_GB2312"/>
          <w:b/>
          <w:bCs/>
          <w:sz w:val="30"/>
          <w:szCs w:val="30"/>
          <w:highlight w:val="none"/>
        </w:rPr>
        <w:t>规划主要图纸</w:t>
      </w:r>
    </w:p>
    <w:p w14:paraId="315CD131">
      <w:pPr>
        <w:rPr>
          <w:rStyle w:val="6"/>
          <w:highlight w:val="none"/>
        </w:rPr>
      </w:pPr>
      <w:r>
        <w:rPr>
          <w:rStyle w:val="6"/>
          <w:highlight w:val="none"/>
        </w:rPr>
        <w:br w:type="page"/>
      </w:r>
    </w:p>
    <w:p w14:paraId="0A62A13B">
      <w:pPr>
        <w:widowControl w:val="0"/>
        <w:numPr>
          <w:ilvl w:val="0"/>
          <w:numId w:val="0"/>
        </w:numPr>
        <w:jc w:val="both"/>
        <w:rPr>
          <w:rFonts w:hint="eastAsia" w:ascii="Times New Roman" w:hAnsi="Times New Roman" w:eastAsia="仿宋_GB2312"/>
          <w:b/>
          <w:bCs/>
          <w:sz w:val="30"/>
          <w:szCs w:val="30"/>
          <w:highlight w:val="none"/>
          <w:lang w:eastAsia="zh-CN"/>
        </w:rPr>
      </w:pPr>
      <w:r>
        <w:rPr>
          <w:rStyle w:val="6"/>
          <w:rFonts w:hint="eastAsia" w:eastAsia="等线"/>
          <w:highlight w:val="none"/>
          <w:lang w:eastAsia="zh-CN"/>
        </w:rPr>
        <w:drawing>
          <wp:inline distT="0" distB="0" distL="114300" distR="114300">
            <wp:extent cx="5342255" cy="7560310"/>
            <wp:effectExtent l="0" t="0" r="10795" b="2540"/>
            <wp:docPr id="10" name="图片 10" descr="E:/工作/2024/B-巴宜区村规/2025/260819第三批公布稿/260820NQS-第三批公布稿（康扎村嘎玛村）/260820康扎村改图1.png260820康扎村改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2024/B-巴宜区村规/2025/260819第三批公布稿/260820NQS-第三批公布稿（康扎村嘎玛村）/260820康扎村改图1.png260820康扎村改图1"/>
                    <pic:cNvPicPr>
                      <a:picLocks noChangeAspect="1"/>
                    </pic:cNvPicPr>
                  </pic:nvPicPr>
                  <pic:blipFill>
                    <a:blip r:embed="rId11"/>
                    <a:srcRect t="6" b="6"/>
                    <a:stretch>
                      <a:fillRect/>
                    </a:stretch>
                  </pic:blipFill>
                  <pic:spPr>
                    <a:xfrm>
                      <a:off x="0" y="0"/>
                      <a:ext cx="5342255" cy="7560310"/>
                    </a:xfrm>
                    <a:prstGeom prst="rect">
                      <a:avLst/>
                    </a:prstGeom>
                  </pic:spPr>
                </pic:pic>
              </a:graphicData>
            </a:graphic>
          </wp:inline>
        </w:drawing>
      </w:r>
      <w:r>
        <w:rPr>
          <w:rStyle w:val="6"/>
          <w:rFonts w:hint="eastAsia" w:eastAsia="等线"/>
          <w:highlight w:val="none"/>
          <w:lang w:eastAsia="zh-CN"/>
        </w:rPr>
        <w:drawing>
          <wp:inline distT="0" distB="0" distL="114300" distR="114300">
            <wp:extent cx="5342255" cy="7560310"/>
            <wp:effectExtent l="0" t="0" r="10795" b="2540"/>
            <wp:docPr id="15" name="图片 15" descr="E:/工作/2024/B-巴宜区村规/2025/260819第三批公布稿/260820NQS-第三批公布稿（康扎村嘎玛村）/260820康扎村改图2.png260820康扎村改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E:/工作/2024/B-巴宜区村规/2025/260819第三批公布稿/260820NQS-第三批公布稿（康扎村嘎玛村）/260820康扎村改图2.png260820康扎村改图2"/>
                    <pic:cNvPicPr>
                      <a:picLocks noChangeAspect="1"/>
                    </pic:cNvPicPr>
                  </pic:nvPicPr>
                  <pic:blipFill>
                    <a:blip r:embed="rId12"/>
                    <a:srcRect t="12" b="12"/>
                    <a:stretch>
                      <a:fillRect/>
                    </a:stretch>
                  </pic:blipFill>
                  <pic:spPr>
                    <a:xfrm>
                      <a:off x="0" y="0"/>
                      <a:ext cx="5342255" cy="7560310"/>
                    </a:xfrm>
                    <a:prstGeom prst="rect">
                      <a:avLst/>
                    </a:prstGeom>
                  </pic:spPr>
                </pic:pic>
              </a:graphicData>
            </a:graphic>
          </wp:inline>
        </w:drawing>
      </w:r>
    </w:p>
    <w:p w14:paraId="1B611A3C"/>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78CC9">
    <w:pPr>
      <w:tabs>
        <w:tab w:val="center" w:pos="4153"/>
        <w:tab w:val="right" w:pos="8306"/>
      </w:tabs>
      <w:snapToGrid w:val="0"/>
      <w:jc w:val="left"/>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7D8F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2E7D8F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7EEDD">
    <w:pPr>
      <w:tabs>
        <w:tab w:val="center" w:pos="4153"/>
        <w:tab w:val="right" w:pos="8306"/>
      </w:tabs>
      <w:snapToGrid w:val="0"/>
      <w:jc w:val="left"/>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F1C4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ABF1C4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F508E">
    <w:pPr>
      <w:tabs>
        <w:tab w:val="center" w:pos="4153"/>
        <w:tab w:val="right" w:pos="8306"/>
      </w:tabs>
      <w:snapToGrid w:val="0"/>
      <w:jc w:val="left"/>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CE0364">
                          <w:pPr>
                            <w:pStyle w:val="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0BCE0364">
                    <w:pPr>
                      <w:pStyle w:val="2"/>
                    </w:pPr>
                    <w:r>
                      <w:fldChar w:fldCharType="begin"/>
                    </w:r>
                    <w:r>
                      <w:instrText xml:space="preserve"> PAGE  \* MERGEFORMAT </w:instrText>
                    </w:r>
                    <w:r>
                      <w:fldChar w:fldCharType="separate"/>
                    </w:r>
                    <w: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679A8C"/>
    <w:multiLevelType w:val="singleLevel"/>
    <w:tmpl w:val="EE679A8C"/>
    <w:lvl w:ilvl="0" w:tentative="0">
      <w:start w:val="1"/>
      <w:numFmt w:val="chineseCounting"/>
      <w:suff w:val="nothing"/>
      <w:lvlText w:val="%1、"/>
      <w:lvlJc w:val="left"/>
      <w:pPr>
        <w:ind w:left="0" w:firstLine="420"/>
      </w:pPr>
      <w:rPr>
        <w:rFonts w:hint="eastAsia"/>
      </w:rPr>
    </w:lvl>
  </w:abstractNum>
  <w:abstractNum w:abstractNumId="1">
    <w:nsid w:val="10EA20BA"/>
    <w:multiLevelType w:val="singleLevel"/>
    <w:tmpl w:val="10EA20BA"/>
    <w:lvl w:ilvl="0" w:tentative="0">
      <w:start w:val="1"/>
      <w:numFmt w:val="chineseCounting"/>
      <w:suff w:val="nothing"/>
      <w:lvlText w:val="%1、"/>
      <w:lvlJc w:val="left"/>
      <w:pPr>
        <w:ind w:left="0" w:firstLine="420"/>
      </w:pPr>
      <w:rPr>
        <w:rFonts w:hint="eastAsia"/>
      </w:rPr>
    </w:lvl>
  </w:abstractNum>
  <w:abstractNum w:abstractNumId="2">
    <w:nsid w:val="2E9C87C6"/>
    <w:multiLevelType w:val="singleLevel"/>
    <w:tmpl w:val="2E9C87C6"/>
    <w:lvl w:ilvl="0" w:tentative="0">
      <w:start w:val="1"/>
      <w:numFmt w:val="chineseCounting"/>
      <w:suff w:val="nothing"/>
      <w:lvlText w:val="%1、"/>
      <w:lvlJc w:val="left"/>
      <w:pPr>
        <w:ind w:left="0" w:firstLine="42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5651AE"/>
    <w:rsid w:val="153B4F62"/>
    <w:rsid w:val="160D144F"/>
    <w:rsid w:val="19F9537F"/>
    <w:rsid w:val="345651AE"/>
    <w:rsid w:val="47E453E8"/>
    <w:rsid w:val="4CD722EC"/>
    <w:rsid w:val="5E1B3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annotation reference"/>
    <w:basedOn w:val="5"/>
    <w:unhideWhenUsed/>
    <w:qFormat/>
    <w:uiPriority w:val="99"/>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1682</Words>
  <Characters>1917</Characters>
  <Lines>0</Lines>
  <Paragraphs>0</Paragraphs>
  <TotalTime>3</TotalTime>
  <ScaleCrop>false</ScaleCrop>
  <LinksUpToDate>false</LinksUpToDate>
  <CharactersWithSpaces>1917</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2026-08-21T09:16:00Z</dcterms:created>
  <dc:creator>我的名字</dc:creator>
  <cp:lastModifiedBy>张颖兰</cp:lastModifiedBy>
  <dcterms:modified xsi:type="dcterms:W3CDTF">2026-08-24T03:22:43Z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799F2FB82F51490187F51334763FFBAE_11</vt:lpwstr>
  </property>
  <property fmtid="{D5CDD505-2E9C-101B-9397-08002B2CF9AE}" pid="4" name="KSOTemplateDocerSaveRecord">
    <vt:lpwstr>eyJoZGlkIjoiN2MzNmZlZmM0M2M4YTZmYWZhMzc3OTJiMGU5MzA4ZTYiLCJ1c2VySWQiOiIyNTczNTk1MzIifQ==</vt:lpwstr>
  </property>
</Properties>
</file>